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44"/>
          <w:szCs w:val="44"/>
        </w:rPr>
      </w:pPr>
      <w:r>
        <w:rPr>
          <w:rFonts w:ascii="方正小标宋_GBK" w:eastAsia="方正小标宋_GBK"/>
          <w:sz w:val="72"/>
          <w:szCs w:val="72"/>
        </w:rPr>
        <w:pict>
          <v:shape id="_x0000_s1034" o:spid="_x0000_s1034" o:spt="136" alt="重庆市渝中区就业和人才服务局" type="#_x0000_t136" style="position:absolute;left:0pt;margin-left:5.9pt;margin-top:60pt;height:34.5pt;width:449.8pt;mso-position-vertical-relative:page;mso-wrap-distance-bottom:0pt;mso-wrap-distance-left:9pt;mso-wrap-distance-right:9pt;mso-wrap-distance-top:0pt;z-index:251660288;mso-width-relative:page;mso-height-relative:page;" fillcolor="#FF0000" filled="t" stroked="t" coordsize="21600,21600">
            <v:path/>
            <v:fill on="t" focussize="0,0"/>
            <v:stroke color="#FF0000"/>
            <v:imagedata o:title=""/>
            <o:lock v:ext="edit"/>
            <v:textpath on="t" fitshape="t" fitpath="t" trim="t" xscale="f" string="重庆市渝中区就业和人才中心" style="font-family:方正小标宋_GBK;font-size:36pt;v-text-align:center;"/>
            <w10:wrap type="square"/>
          </v:shape>
        </w:pict>
      </w:r>
    </w:p>
    <w:p>
      <w:pPr>
        <w:autoSpaceDE w:val="0"/>
        <w:autoSpaceDN w:val="0"/>
        <w:adjustRightInd w:val="0"/>
        <w:snapToGrid w:val="0"/>
        <w:spacing w:line="594" w:lineRule="exact"/>
        <w:jc w:val="center"/>
        <w:rPr>
          <w:rFonts w:hint="eastAsia" w:ascii="方正小标宋_GBK" w:hAnsi="方正小标宋_GBK" w:eastAsia="方正小标宋_GBK" w:cs="方正小标宋_GBK"/>
          <w:sz w:val="44"/>
          <w:szCs w:val="44"/>
        </w:rPr>
      </w:pPr>
    </w:p>
    <w:p>
      <w:pPr>
        <w:autoSpaceDE w:val="0"/>
        <w:autoSpaceDN w:val="0"/>
        <w:adjustRightInd w:val="0"/>
        <w:snapToGrid w:val="0"/>
        <w:spacing w:line="594" w:lineRule="exact"/>
        <w:jc w:val="center"/>
        <w:rPr>
          <w:rFonts w:hint="eastAsia" w:ascii="方正小标宋_GBK" w:hAnsi="方正小标宋_GBK" w:eastAsia="方正小标宋_GBK" w:cs="方正小标宋_GBK"/>
          <w:sz w:val="44"/>
          <w:szCs w:val="44"/>
        </w:rPr>
      </w:pPr>
      <w:r>
        <w:rPr>
          <w:rFonts w:ascii="方正小标宋_GBK" w:eastAsia="方正小标宋_GBK"/>
          <w:sz w:val="72"/>
          <w:szCs w:val="72"/>
        </w:rPr>
        <w:pict>
          <v:line id="_x0000_s1039" o:spid="_x0000_s1039" o:spt="20" style="position:absolute;left:0pt;margin-left:-3.3pt;margin-top:28.35pt;height:0pt;width:464.25pt;z-index:251661312;mso-width-relative:page;mso-height-relative:page;" stroked="t" coordsize="21600,21600">
            <v:path arrowok="t"/>
            <v:fill focussize="0,0"/>
            <v:stroke color="#FF0000"/>
            <v:imagedata o:title=""/>
            <o:lock v:ext="edit"/>
          </v:line>
        </w:pict>
      </w:r>
      <w:r>
        <w:rPr>
          <w:rFonts w:ascii="方正仿宋_GBK" w:eastAsia="方正仿宋_GBK"/>
          <w:sz w:val="32"/>
        </w:rPr>
        <w:pict>
          <v:line id="_x0000_s1033" o:spid="_x0000_s1033" o:spt="20" style="position:absolute;left:0pt;margin-left:-2.55pt;margin-top:23pt;height:0.05pt;width:464.25pt;z-index:251659264;mso-width-relative:page;mso-height-relative:page;" stroked="t" coordsize="21600,21600">
            <v:path arrowok="t"/>
            <v:fill focussize="0,0"/>
            <v:stroke weight="3pt" color="#FF0000"/>
            <v:imagedata o:title=""/>
            <o:lock v:ext="edit"/>
          </v:line>
        </w:pict>
      </w:r>
    </w:p>
    <w:p>
      <w:pPr>
        <w:autoSpaceDE w:val="0"/>
        <w:autoSpaceDN w:val="0"/>
        <w:adjustRightInd w:val="0"/>
        <w:snapToGrid w:val="0"/>
        <w:spacing w:line="594" w:lineRule="exact"/>
        <w:jc w:val="center"/>
        <w:rPr>
          <w:rFonts w:hint="eastAsia" w:ascii="方正小标宋_GBK" w:hAnsi="方正小标宋_GBK" w:eastAsia="方正小标宋_GBK" w:cs="方正小标宋_GBK"/>
          <w:sz w:val="44"/>
          <w:szCs w:val="44"/>
        </w:rPr>
      </w:pPr>
    </w:p>
    <w:p>
      <w:pPr>
        <w:autoSpaceDE w:val="0"/>
        <w:autoSpaceDN w:val="0"/>
        <w:adjustRightInd w:val="0"/>
        <w:snapToGrid w:val="0"/>
        <w:spacing w:line="594" w:lineRule="exact"/>
        <w:jc w:val="center"/>
        <w:rPr>
          <w:rFonts w:hint="eastAsia" w:ascii="方正小标宋_GBK" w:hAnsi="方正小标宋_GBK" w:eastAsia="方正小标宋_GBK" w:cs="方正小标宋_GBK"/>
          <w:sz w:val="44"/>
          <w:szCs w:val="44"/>
        </w:rPr>
      </w:pPr>
    </w:p>
    <w:p>
      <w:pPr>
        <w:autoSpaceDE w:val="0"/>
        <w:autoSpaceDN w:val="0"/>
        <w:adjustRightInd w:val="0"/>
        <w:snapToGrid w:val="0"/>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渝中区就业和人才中心</w:t>
      </w:r>
    </w:p>
    <w:p>
      <w:pPr>
        <w:autoSpaceDE w:val="0"/>
        <w:autoSpaceDN w:val="0"/>
        <w:adjustRightInd w:val="0"/>
        <w:snapToGrid w:val="0"/>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ascii="方正小标宋_GBK" w:hAnsi="方正小标宋_GBK" w:eastAsia="方正小标宋_GBK" w:cs="方正小标宋_GBK"/>
          <w:sz w:val="44"/>
          <w:szCs w:val="44"/>
        </w:rPr>
        <w:t>工作制服采购竞争性</w:t>
      </w:r>
      <w:r>
        <w:rPr>
          <w:rFonts w:hint="eastAsia" w:ascii="方正小标宋_GBK" w:hAnsi="方正小标宋_GBK" w:eastAsia="方正小标宋_GBK" w:cs="方正小标宋_GBK"/>
          <w:sz w:val="44"/>
          <w:szCs w:val="44"/>
        </w:rPr>
        <w:t>磋商的邀请函</w:t>
      </w:r>
    </w:p>
    <w:p>
      <w:pPr>
        <w:spacing w:line="300" w:lineRule="exact"/>
        <w:jc w:val="center"/>
        <w:rPr>
          <w:rFonts w:ascii="方正小标宋_GBK" w:eastAsia="方正小标宋_GBK"/>
          <w:sz w:val="22"/>
          <w:szCs w:val="44"/>
        </w:rPr>
      </w:pPr>
    </w:p>
    <w:p>
      <w:pPr>
        <w:spacing w:line="300" w:lineRule="exact"/>
        <w:jc w:val="center"/>
        <w:rPr>
          <w:rFonts w:ascii="方正小标宋_GBK" w:eastAsia="方正小标宋_GBK"/>
          <w:sz w:val="22"/>
          <w:szCs w:val="44"/>
        </w:rPr>
      </w:pPr>
    </w:p>
    <w:p>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重庆市渝中区就业和人才中心</w:t>
      </w:r>
      <w:r>
        <w:rPr>
          <w:rFonts w:hint="eastAsia" w:eastAsia="方正仿宋_GBK"/>
          <w:sz w:val="32"/>
          <w:szCs w:val="32"/>
        </w:rPr>
        <w:t>（</w:t>
      </w:r>
      <w:r>
        <w:rPr>
          <w:rFonts w:eastAsia="方正仿宋_GBK"/>
          <w:sz w:val="32"/>
          <w:szCs w:val="32"/>
        </w:rPr>
        <w:t>以下简称本单位或谈判邀请方</w:t>
      </w:r>
      <w:r>
        <w:rPr>
          <w:rFonts w:hint="eastAsia" w:eastAsia="方正仿宋_GBK"/>
          <w:sz w:val="32"/>
          <w:szCs w:val="32"/>
        </w:rPr>
        <w:t>）</w:t>
      </w:r>
      <w:r>
        <w:rPr>
          <w:rFonts w:eastAsia="方正仿宋_GBK"/>
          <w:sz w:val="32"/>
          <w:szCs w:val="32"/>
        </w:rPr>
        <w:t>，就本单位工作制服采购项目，邀请有相应资质的服务提供商进行竞争性</w:t>
      </w:r>
      <w:r>
        <w:rPr>
          <w:rFonts w:hint="eastAsia" w:eastAsia="方正仿宋_GBK"/>
          <w:sz w:val="32"/>
          <w:szCs w:val="32"/>
        </w:rPr>
        <w:t>磋商</w:t>
      </w:r>
      <w:r>
        <w:rPr>
          <w:rFonts w:eastAsia="方正仿宋_GBK"/>
          <w:sz w:val="32"/>
          <w:szCs w:val="32"/>
        </w:rPr>
        <w:t>，并对所有货物及服务项目进行收费报价。</w:t>
      </w:r>
      <w:bookmarkStart w:id="0" w:name="_GoBack"/>
      <w:bookmarkEnd w:id="0"/>
    </w:p>
    <w:p>
      <w:pPr>
        <w:autoSpaceDE w:val="0"/>
        <w:autoSpaceDN w:val="0"/>
        <w:adjustRightInd w:val="0"/>
        <w:spacing w:line="594" w:lineRule="exact"/>
        <w:ind w:firstLine="640" w:firstLineChars="200"/>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一、概况介绍</w:t>
      </w:r>
    </w:p>
    <w:p>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重庆市渝中区就业和人才中心现有工作人员43人（男性</w:t>
      </w:r>
      <w:r>
        <w:rPr>
          <w:rFonts w:hint="eastAsia" w:eastAsia="方正仿宋_GBK"/>
          <w:sz w:val="32"/>
          <w:szCs w:val="32"/>
        </w:rPr>
        <w:t>15</w:t>
      </w:r>
      <w:r>
        <w:rPr>
          <w:rFonts w:eastAsia="方正仿宋_GBK"/>
          <w:sz w:val="32"/>
          <w:szCs w:val="32"/>
        </w:rPr>
        <w:t>人、女性</w:t>
      </w:r>
      <w:r>
        <w:rPr>
          <w:rFonts w:hint="eastAsia" w:eastAsia="方正仿宋_GBK"/>
          <w:sz w:val="32"/>
          <w:szCs w:val="32"/>
        </w:rPr>
        <w:t>28</w:t>
      </w:r>
      <w:r>
        <w:rPr>
          <w:rFonts w:eastAsia="方正仿宋_GBK"/>
          <w:sz w:val="32"/>
          <w:szCs w:val="32"/>
        </w:rPr>
        <w:t>人，所有数量以实际量裁、制作为准</w:t>
      </w:r>
      <w:r>
        <w:rPr>
          <w:rFonts w:hint="eastAsia" w:eastAsia="方正仿宋_GBK"/>
          <w:sz w:val="32"/>
          <w:szCs w:val="32"/>
        </w:rPr>
        <w:t>）</w:t>
      </w:r>
      <w:r>
        <w:rPr>
          <w:rFonts w:eastAsia="方正仿宋_GBK"/>
          <w:sz w:val="32"/>
          <w:szCs w:val="32"/>
        </w:rPr>
        <w:t>。本次采购包括</w:t>
      </w:r>
      <w:r>
        <w:rPr>
          <w:rFonts w:hint="eastAsia" w:eastAsia="方正仿宋_GBK"/>
          <w:sz w:val="32"/>
          <w:szCs w:val="32"/>
        </w:rPr>
        <w:t>1.</w:t>
      </w:r>
      <w:r>
        <w:rPr>
          <w:rFonts w:eastAsia="方正仿宋_GBK"/>
          <w:sz w:val="32"/>
          <w:szCs w:val="32"/>
        </w:rPr>
        <w:t>每人</w:t>
      </w:r>
      <w:r>
        <w:rPr>
          <w:rFonts w:hint="eastAsia" w:eastAsia="方正仿宋_GBK"/>
          <w:sz w:val="32"/>
          <w:szCs w:val="32"/>
        </w:rPr>
        <w:t>中长款</w:t>
      </w:r>
      <w:r>
        <w:rPr>
          <w:rFonts w:eastAsia="方正仿宋_GBK"/>
          <w:sz w:val="32"/>
          <w:szCs w:val="32"/>
        </w:rPr>
        <w:t>羽绒服1</w:t>
      </w:r>
      <w:r>
        <w:rPr>
          <w:rFonts w:hint="eastAsia" w:eastAsia="方正仿宋_GBK"/>
          <w:sz w:val="32"/>
          <w:szCs w:val="32"/>
        </w:rPr>
        <w:t>件、</w:t>
      </w:r>
      <w:r>
        <w:rPr>
          <w:rFonts w:eastAsia="方正仿宋_GBK"/>
          <w:sz w:val="32"/>
          <w:szCs w:val="32"/>
        </w:rPr>
        <w:t>羊毛衫</w:t>
      </w:r>
      <w:r>
        <w:rPr>
          <w:rFonts w:hint="eastAsia" w:eastAsia="方正仿宋_GBK"/>
          <w:sz w:val="32"/>
          <w:szCs w:val="32"/>
        </w:rPr>
        <w:t>2</w:t>
      </w:r>
      <w:r>
        <w:rPr>
          <w:rFonts w:eastAsia="方正仿宋_GBK"/>
          <w:sz w:val="32"/>
          <w:szCs w:val="32"/>
        </w:rPr>
        <w:t>件，人均标准最高不超过1750元</w:t>
      </w:r>
      <w:r>
        <w:rPr>
          <w:rFonts w:hint="eastAsia" w:eastAsia="方正仿宋_GBK"/>
          <w:sz w:val="32"/>
          <w:szCs w:val="32"/>
        </w:rPr>
        <w:t>；2.其中有2人，增加每人西服1套、长袖衬衫2件、短袖衬衫2件，人均标准最高不超过1500元。</w:t>
      </w:r>
    </w:p>
    <w:p>
      <w:pPr>
        <w:autoSpaceDE w:val="0"/>
        <w:autoSpaceDN w:val="0"/>
        <w:adjustRightInd w:val="0"/>
        <w:snapToGrid w:val="0"/>
        <w:spacing w:line="594"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递交谈判响应文件截止时间：2021年</w:t>
      </w:r>
      <w:r>
        <w:rPr>
          <w:rFonts w:hint="eastAsia" w:eastAsia="方正仿宋_GBK"/>
          <w:sz w:val="32"/>
          <w:szCs w:val="32"/>
        </w:rPr>
        <w:t>11</w:t>
      </w:r>
      <w:r>
        <w:rPr>
          <w:rFonts w:eastAsia="方正仿宋_GBK"/>
          <w:sz w:val="32"/>
          <w:szCs w:val="32"/>
        </w:rPr>
        <w:t>月</w:t>
      </w:r>
      <w:r>
        <w:rPr>
          <w:rFonts w:hint="eastAsia" w:eastAsia="方正仿宋_GBK"/>
          <w:sz w:val="32"/>
          <w:szCs w:val="32"/>
        </w:rPr>
        <w:t>16</w:t>
      </w:r>
      <w:r>
        <w:rPr>
          <w:rFonts w:eastAsia="方正仿宋_GBK"/>
          <w:sz w:val="32"/>
          <w:szCs w:val="32"/>
        </w:rPr>
        <w:t>日</w:t>
      </w:r>
      <w:r>
        <w:rPr>
          <w:rFonts w:hint="eastAsia" w:eastAsia="方正仿宋_GBK"/>
          <w:sz w:val="32"/>
          <w:szCs w:val="32"/>
        </w:rPr>
        <w:t>下</w:t>
      </w:r>
      <w:r>
        <w:rPr>
          <w:rFonts w:eastAsia="方正仿宋_GBK"/>
          <w:sz w:val="32"/>
          <w:szCs w:val="32"/>
        </w:rPr>
        <w:t>午</w:t>
      </w:r>
      <w:r>
        <w:rPr>
          <w:rFonts w:hint="eastAsia" w:eastAsia="方正仿宋_GBK"/>
          <w:sz w:val="32"/>
          <w:szCs w:val="32"/>
        </w:rPr>
        <w:t>16</w:t>
      </w:r>
      <w:r>
        <w:rPr>
          <w:rFonts w:eastAsia="方正仿宋_GBK"/>
          <w:sz w:val="32"/>
          <w:szCs w:val="32"/>
        </w:rPr>
        <w:t>时（北京时间）。逾期收到或不符合规定的投标文件恕不接受。</w:t>
      </w:r>
    </w:p>
    <w:p>
      <w:pPr>
        <w:autoSpaceDE w:val="0"/>
        <w:autoSpaceDN w:val="0"/>
        <w:adjustRightInd w:val="0"/>
        <w:snapToGrid w:val="0"/>
        <w:spacing w:line="594"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投标及谈判地点：</w:t>
      </w:r>
      <w:r>
        <w:rPr>
          <w:rFonts w:hint="eastAsia" w:eastAsia="方正仿宋_GBK"/>
          <w:sz w:val="32"/>
          <w:szCs w:val="32"/>
        </w:rPr>
        <w:t>重庆市渝中区中山一路218号渝中区就业和人才中心418室</w:t>
      </w:r>
    </w:p>
    <w:p>
      <w:pPr>
        <w:autoSpaceDE w:val="0"/>
        <w:autoSpaceDN w:val="0"/>
        <w:adjustRightInd w:val="0"/>
        <w:snapToGrid w:val="0"/>
        <w:spacing w:line="594"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谈判邀请方联系方式</w:t>
      </w:r>
    </w:p>
    <w:p>
      <w:pPr>
        <w:adjustRightInd w:val="0"/>
        <w:snapToGrid w:val="0"/>
        <w:spacing w:line="594" w:lineRule="exact"/>
        <w:ind w:firstLine="640" w:firstLineChars="200"/>
        <w:rPr>
          <w:rFonts w:eastAsia="方正仿宋_GBK"/>
          <w:sz w:val="32"/>
          <w:szCs w:val="32"/>
        </w:rPr>
      </w:pPr>
      <w:r>
        <w:rPr>
          <w:rFonts w:eastAsia="方正仿宋_GBK"/>
          <w:sz w:val="32"/>
          <w:szCs w:val="32"/>
        </w:rPr>
        <w:t>联  系  人：刘影 罗珊珊</w:t>
      </w:r>
    </w:p>
    <w:p>
      <w:pPr>
        <w:adjustRightInd w:val="0"/>
        <w:snapToGrid w:val="0"/>
        <w:spacing w:line="594" w:lineRule="exact"/>
        <w:ind w:firstLine="640" w:firstLineChars="200"/>
        <w:rPr>
          <w:rFonts w:eastAsia="方正仿宋_GBK"/>
          <w:sz w:val="32"/>
          <w:szCs w:val="32"/>
        </w:rPr>
      </w:pPr>
      <w:r>
        <w:rPr>
          <w:rFonts w:eastAsia="方正仿宋_GBK"/>
          <w:sz w:val="32"/>
          <w:szCs w:val="32"/>
        </w:rPr>
        <w:t>联系电话：6372010</w:t>
      </w:r>
      <w:r>
        <w:rPr>
          <w:rFonts w:hint="eastAsia" w:eastAsia="方正仿宋_GBK"/>
          <w:sz w:val="32"/>
          <w:szCs w:val="32"/>
        </w:rPr>
        <w:t>6、</w:t>
      </w:r>
      <w:r>
        <w:rPr>
          <w:rFonts w:eastAsia="方正仿宋_GBK"/>
          <w:sz w:val="32"/>
          <w:szCs w:val="32"/>
        </w:rPr>
        <w:t>63720206</w:t>
      </w:r>
    </w:p>
    <w:p>
      <w:pPr>
        <w:autoSpaceDE w:val="0"/>
        <w:autoSpaceDN w:val="0"/>
        <w:adjustRightInd w:val="0"/>
        <w:snapToGrid w:val="0"/>
        <w:spacing w:line="594" w:lineRule="exact"/>
        <w:ind w:firstLine="640" w:firstLineChars="200"/>
        <w:jc w:val="left"/>
        <w:rPr>
          <w:rFonts w:eastAsia="方正仿宋_GBK"/>
          <w:sz w:val="32"/>
          <w:szCs w:val="32"/>
        </w:rPr>
      </w:pPr>
      <w:r>
        <w:rPr>
          <w:rFonts w:eastAsia="方正仿宋_GBK"/>
          <w:sz w:val="32"/>
          <w:szCs w:val="32"/>
        </w:rPr>
        <w:t>本次谈判遵循公开、公平、公正、科学择优的原则，由谈判邀请方自主并参照招投标流程进行，但不受招投标相关法律法规的约束。</w:t>
      </w:r>
    </w:p>
    <w:p>
      <w:pPr>
        <w:autoSpaceDE w:val="0"/>
        <w:autoSpaceDN w:val="0"/>
        <w:adjustRightInd w:val="0"/>
        <w:snapToGrid w:val="0"/>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二、对谈判响应方的资格要求</w:t>
      </w:r>
    </w:p>
    <w:p>
      <w:pPr>
        <w:autoSpaceDE w:val="0"/>
        <w:autoSpaceDN w:val="0"/>
        <w:adjustRightInd w:val="0"/>
        <w:snapToGrid w:val="0"/>
        <w:spacing w:line="594"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在中华人民共和国境内注册，提供商注册的经营范围中包含服装、服饰的生产或销售项目，并具有独立订立合同的权利；</w:t>
      </w:r>
    </w:p>
    <w:p>
      <w:pPr>
        <w:autoSpaceDE w:val="0"/>
        <w:autoSpaceDN w:val="0"/>
        <w:adjustRightInd w:val="0"/>
        <w:snapToGrid w:val="0"/>
        <w:spacing w:line="594"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响应方公司注册资金不小于500万元；</w:t>
      </w:r>
    </w:p>
    <w:p>
      <w:pPr>
        <w:autoSpaceDE w:val="0"/>
        <w:autoSpaceDN w:val="0"/>
        <w:adjustRightInd w:val="0"/>
        <w:snapToGrid w:val="0"/>
        <w:spacing w:line="594"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具有国内独立法人资格、独立承担民事责任和履行合同能力，具有良好的商业信誉和健全的财务会计管理制度，具有履行合同所必需的设备和专业技术能力，有依法缴纳税收和社会保障资金的良好记录，在</w:t>
      </w:r>
      <w:r>
        <w:rPr>
          <w:rFonts w:hint="eastAsia" w:eastAsia="方正仿宋_GBK"/>
          <w:sz w:val="32"/>
          <w:szCs w:val="32"/>
        </w:rPr>
        <w:t>近</w:t>
      </w:r>
      <w:r>
        <w:rPr>
          <w:rFonts w:eastAsia="方正仿宋_GBK"/>
          <w:sz w:val="32"/>
          <w:szCs w:val="32"/>
        </w:rPr>
        <w:t>三年内的经营活动中没有重大违法记录；</w:t>
      </w:r>
    </w:p>
    <w:p>
      <w:pPr>
        <w:autoSpaceDE w:val="0"/>
        <w:autoSpaceDN w:val="0"/>
        <w:adjustRightInd w:val="0"/>
        <w:snapToGrid w:val="0"/>
        <w:spacing w:line="594"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具有较强的项目管理、技术服务和组织实施能力，能满足采购文件规定的生产、配送和服务要求，并具有类似项目实施经验，能够承担本项目实施，并有良好的工作业绩和履约记录；</w:t>
      </w:r>
    </w:p>
    <w:p>
      <w:pPr>
        <w:autoSpaceDE w:val="0"/>
        <w:autoSpaceDN w:val="0"/>
        <w:adjustRightInd w:val="0"/>
        <w:snapToGrid w:val="0"/>
        <w:spacing w:line="594" w:lineRule="exact"/>
        <w:ind w:firstLine="640" w:firstLineChars="200"/>
        <w:rPr>
          <w:rFonts w:eastAsia="方正仿宋_GBK"/>
          <w:sz w:val="32"/>
          <w:szCs w:val="32"/>
        </w:rPr>
      </w:pPr>
      <w:r>
        <w:rPr>
          <w:rFonts w:hint="eastAsia" w:eastAsia="方正仿宋_GBK"/>
          <w:sz w:val="32"/>
          <w:szCs w:val="32"/>
        </w:rPr>
        <w:t>5.</w:t>
      </w:r>
      <w:r>
        <w:rPr>
          <w:rFonts w:eastAsia="方正仿宋_GBK"/>
          <w:sz w:val="32"/>
          <w:szCs w:val="32"/>
        </w:rPr>
        <w:t>经年检合格的企业法人营业执照；</w:t>
      </w:r>
    </w:p>
    <w:p>
      <w:pPr>
        <w:autoSpaceDE w:val="0"/>
        <w:autoSpaceDN w:val="0"/>
        <w:adjustRightInd w:val="0"/>
        <w:snapToGrid w:val="0"/>
        <w:spacing w:line="594" w:lineRule="exact"/>
        <w:ind w:firstLine="640" w:firstLineChars="200"/>
        <w:rPr>
          <w:rFonts w:eastAsia="方正仿宋_GBK"/>
          <w:sz w:val="32"/>
          <w:szCs w:val="32"/>
        </w:rPr>
      </w:pPr>
      <w:r>
        <w:rPr>
          <w:rFonts w:hint="eastAsia" w:eastAsia="方正仿宋_GBK"/>
          <w:sz w:val="32"/>
          <w:szCs w:val="32"/>
        </w:rPr>
        <w:t>6.</w:t>
      </w:r>
      <w:r>
        <w:rPr>
          <w:rFonts w:eastAsia="方正仿宋_GBK"/>
          <w:sz w:val="32"/>
          <w:szCs w:val="32"/>
        </w:rPr>
        <w:t>具备法律和行政法规规定的其他条件；</w:t>
      </w:r>
    </w:p>
    <w:p>
      <w:pPr>
        <w:autoSpaceDE w:val="0"/>
        <w:autoSpaceDN w:val="0"/>
        <w:adjustRightInd w:val="0"/>
        <w:snapToGrid w:val="0"/>
        <w:spacing w:line="594" w:lineRule="exact"/>
        <w:ind w:firstLine="640" w:firstLineChars="200"/>
        <w:rPr>
          <w:rFonts w:eastAsia="方正仿宋_GBK"/>
          <w:color w:val="FF0000"/>
          <w:sz w:val="32"/>
          <w:szCs w:val="32"/>
        </w:rPr>
      </w:pPr>
      <w:r>
        <w:rPr>
          <w:rFonts w:hint="eastAsia" w:eastAsia="方正仿宋_GBK"/>
          <w:sz w:val="32"/>
          <w:szCs w:val="32"/>
        </w:rPr>
        <w:t>7.</w:t>
      </w:r>
      <w:r>
        <w:rPr>
          <w:rFonts w:eastAsia="方正仿宋_GBK"/>
          <w:sz w:val="32"/>
          <w:szCs w:val="32"/>
        </w:rPr>
        <w:t>本项目不接受任何形式的联合体投标。</w:t>
      </w:r>
    </w:p>
    <w:p>
      <w:pPr>
        <w:autoSpaceDE w:val="0"/>
        <w:autoSpaceDN w:val="0"/>
        <w:adjustRightInd w:val="0"/>
        <w:snapToGrid w:val="0"/>
        <w:spacing w:line="594"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三、谈判响应文件的组成</w:t>
      </w:r>
    </w:p>
    <w:p>
      <w:pPr>
        <w:autoSpaceDE w:val="0"/>
        <w:autoSpaceDN w:val="0"/>
        <w:adjustRightInd w:val="0"/>
        <w:snapToGrid w:val="0"/>
        <w:spacing w:line="594" w:lineRule="exact"/>
        <w:ind w:firstLine="640" w:firstLineChars="200"/>
        <w:rPr>
          <w:rFonts w:eastAsia="方正仿宋_GBK"/>
          <w:sz w:val="32"/>
          <w:szCs w:val="32"/>
        </w:rPr>
      </w:pPr>
      <w:r>
        <w:rPr>
          <w:rFonts w:hint="eastAsia" w:eastAsia="方正仿宋_GBK"/>
          <w:sz w:val="32"/>
          <w:szCs w:val="32"/>
        </w:rPr>
        <w:t>谈判响应文件应包含：报价表、材料清单、技术解决方案、组织实施方案、售后服务方案、优惠条件及特殊承诺、验收方案等内容，同时提交</w:t>
      </w:r>
      <w:r>
        <w:rPr>
          <w:rFonts w:eastAsia="方正仿宋_GBK"/>
          <w:sz w:val="32"/>
          <w:szCs w:val="32"/>
        </w:rPr>
        <w:t>法定代表人授权书、通过年检有效的企业法人营业执照（复印件）、同类项目实施业绩一览表、单位介绍等</w:t>
      </w:r>
      <w:r>
        <w:rPr>
          <w:rFonts w:hint="eastAsia" w:eastAsia="方正仿宋_GBK"/>
          <w:sz w:val="32"/>
          <w:szCs w:val="32"/>
        </w:rPr>
        <w:t>。详细情况请参照评标细则逐项准备。</w:t>
      </w:r>
    </w:p>
    <w:p>
      <w:pPr>
        <w:autoSpaceDE w:val="0"/>
        <w:autoSpaceDN w:val="0"/>
        <w:adjustRightInd w:val="0"/>
        <w:snapToGrid w:val="0"/>
        <w:spacing w:line="594"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四、评标细则</w:t>
      </w:r>
    </w:p>
    <w:p>
      <w:pPr>
        <w:spacing w:line="594" w:lineRule="exact"/>
        <w:ind w:firstLine="640" w:firstLineChars="200"/>
        <w:jc w:val="left"/>
        <w:rPr>
          <w:rFonts w:eastAsia="方正仿宋_GBK"/>
          <w:sz w:val="32"/>
          <w:szCs w:val="32"/>
        </w:rPr>
      </w:pPr>
      <w:r>
        <w:rPr>
          <w:rFonts w:eastAsia="方正仿宋_GBK"/>
          <w:sz w:val="32"/>
          <w:szCs w:val="32"/>
        </w:rPr>
        <w:t>谈判小组将通过打分的方式对各谈判响应方</w:t>
      </w:r>
      <w:r>
        <w:rPr>
          <w:rFonts w:hint="eastAsia" w:eastAsia="方正仿宋_GBK"/>
          <w:sz w:val="32"/>
          <w:szCs w:val="32"/>
        </w:rPr>
        <w:t>“</w:t>
      </w:r>
      <w:r>
        <w:rPr>
          <w:rFonts w:eastAsia="方正仿宋_GBK"/>
          <w:sz w:val="32"/>
          <w:szCs w:val="32"/>
        </w:rPr>
        <w:t>采购需求、质量和服务以及最终报价的合理性</w:t>
      </w:r>
      <w:r>
        <w:rPr>
          <w:rFonts w:hint="eastAsia" w:eastAsia="方正仿宋_GBK"/>
          <w:sz w:val="32"/>
          <w:szCs w:val="32"/>
        </w:rPr>
        <w:t>”</w:t>
      </w:r>
      <w:r>
        <w:rPr>
          <w:rFonts w:eastAsia="方正仿宋_GBK"/>
          <w:sz w:val="32"/>
          <w:szCs w:val="32"/>
        </w:rPr>
        <w:t>等内容进行评审，分值安排如下：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22"/>
        <w:gridCol w:w="1375"/>
        <w:gridCol w:w="578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4" w:type="dxa"/>
            <w:noWrap/>
          </w:tcPr>
          <w:p>
            <w:pPr>
              <w:adjustRightInd w:val="0"/>
              <w:snapToGrid w:val="0"/>
              <w:jc w:val="center"/>
              <w:rPr>
                <w:rFonts w:ascii="宋体" w:hAnsi="宋体"/>
                <w:sz w:val="24"/>
              </w:rPr>
            </w:pPr>
            <w:r>
              <w:rPr>
                <w:rFonts w:hint="eastAsia" w:ascii="宋体" w:hAnsi="宋体"/>
                <w:sz w:val="24"/>
              </w:rPr>
              <w:t>序号</w:t>
            </w:r>
          </w:p>
        </w:tc>
        <w:tc>
          <w:tcPr>
            <w:tcW w:w="7884" w:type="dxa"/>
            <w:gridSpan w:val="3"/>
            <w:tcBorders>
              <w:tl2br w:val="single" w:color="auto" w:sz="4" w:space="0"/>
            </w:tcBorders>
            <w:noWrap/>
            <w:vAlign w:val="center"/>
          </w:tcPr>
          <w:p>
            <w:pPr>
              <w:adjustRightInd w:val="0"/>
              <w:snapToGrid w:val="0"/>
              <w:ind w:firstLine="3120" w:firstLineChars="1300"/>
              <w:rPr>
                <w:rFonts w:ascii="宋体" w:hAnsi="宋体"/>
                <w:sz w:val="24"/>
              </w:rPr>
            </w:pPr>
            <w:r>
              <w:rPr>
                <w:rFonts w:hint="eastAsia" w:ascii="宋体" w:hAnsi="宋体"/>
                <w:sz w:val="24"/>
              </w:rPr>
              <w:t>档次</w:t>
            </w:r>
          </w:p>
          <w:p>
            <w:pPr>
              <w:adjustRightInd w:val="0"/>
              <w:snapToGrid w:val="0"/>
              <w:rPr>
                <w:rFonts w:ascii="宋体" w:hAnsi="宋体"/>
                <w:sz w:val="24"/>
              </w:rPr>
            </w:pPr>
            <w:r>
              <w:rPr>
                <w:rFonts w:hint="eastAsia" w:ascii="宋体" w:hAnsi="宋体"/>
                <w:sz w:val="24"/>
              </w:rPr>
              <w:t>评分内容</w:t>
            </w:r>
          </w:p>
        </w:tc>
        <w:tc>
          <w:tcPr>
            <w:tcW w:w="696" w:type="dxa"/>
            <w:noWrap/>
            <w:vAlign w:val="center"/>
          </w:tcPr>
          <w:p>
            <w:pPr>
              <w:adjustRightInd w:val="0"/>
              <w:snapToGrid w:val="0"/>
              <w:jc w:val="center"/>
              <w:rPr>
                <w:rFonts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restart"/>
            <w:noWrap/>
            <w:vAlign w:val="center"/>
          </w:tcPr>
          <w:p>
            <w:pPr>
              <w:adjustRightInd w:val="0"/>
              <w:snapToGrid w:val="0"/>
              <w:spacing w:line="500" w:lineRule="exact"/>
              <w:jc w:val="center"/>
              <w:rPr>
                <w:rFonts w:ascii="宋体" w:hAnsi="宋体"/>
                <w:sz w:val="24"/>
              </w:rPr>
            </w:pPr>
            <w:r>
              <w:rPr>
                <w:rFonts w:hint="eastAsia" w:ascii="宋体" w:hAnsi="宋体"/>
                <w:sz w:val="24"/>
              </w:rPr>
              <w:t>技术部分</w:t>
            </w:r>
          </w:p>
        </w:tc>
        <w:tc>
          <w:tcPr>
            <w:tcW w:w="2097" w:type="dxa"/>
            <w:gridSpan w:val="2"/>
            <w:vMerge w:val="restart"/>
            <w:noWrap/>
            <w:textDirection w:val="tbRlV"/>
            <w:vAlign w:val="center"/>
          </w:tcPr>
          <w:p>
            <w:pPr>
              <w:adjustRightInd w:val="0"/>
              <w:snapToGrid w:val="0"/>
              <w:spacing w:line="500" w:lineRule="exact"/>
              <w:ind w:right="113"/>
              <w:jc w:val="center"/>
              <w:rPr>
                <w:rFonts w:ascii="宋体" w:hAnsi="宋体"/>
                <w:sz w:val="24"/>
              </w:rPr>
            </w:pPr>
            <w:r>
              <w:rPr>
                <w:rFonts w:hint="eastAsia" w:ascii="宋体" w:hAnsi="宋体" w:cs="Tahoma"/>
                <w:sz w:val="24"/>
              </w:rPr>
              <w:t>投标产品的质量（13分）</w:t>
            </w:r>
          </w:p>
        </w:tc>
        <w:tc>
          <w:tcPr>
            <w:tcW w:w="5787" w:type="dxa"/>
            <w:noWrap/>
            <w:vAlign w:val="center"/>
          </w:tcPr>
          <w:p>
            <w:pPr>
              <w:adjustRightInd w:val="0"/>
              <w:snapToGrid w:val="0"/>
              <w:spacing w:line="400" w:lineRule="exact"/>
              <w:rPr>
                <w:rFonts w:ascii="宋体" w:hAnsi="宋体"/>
                <w:sz w:val="24"/>
              </w:rPr>
            </w:pPr>
            <w:r>
              <w:rPr>
                <w:rFonts w:hint="eastAsia" w:ascii="宋体" w:hAnsi="宋体" w:cs="Tahoma"/>
                <w:sz w:val="24"/>
              </w:rPr>
              <w:t>投标产品的</w:t>
            </w:r>
            <w:r>
              <w:rPr>
                <w:rFonts w:hint="eastAsia" w:ascii="宋体" w:hAnsi="宋体"/>
                <w:sz w:val="24"/>
              </w:rPr>
              <w:t>面料、辅料主要成份与采购需求的吻合程度（包括主要面料及辅料名称、成分说明、克重、纱支、组织结构等），</w:t>
            </w:r>
            <w:r>
              <w:rPr>
                <w:rFonts w:hint="eastAsia" w:ascii="宋体" w:hAnsi="宋体" w:cs="Tahoma"/>
                <w:sz w:val="24"/>
              </w:rPr>
              <w:t>是否符合采购文件和采购人需求</w:t>
            </w:r>
            <w:r>
              <w:rPr>
                <w:rFonts w:hint="eastAsia" w:ascii="宋体" w:hAnsi="宋体"/>
                <w:sz w:val="24"/>
              </w:rPr>
              <w:t>，是否具有优势，其方案的可行性如何（3分）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noWrap/>
          </w:tcPr>
          <w:p>
            <w:pPr>
              <w:adjustRightInd w:val="0"/>
              <w:snapToGrid w:val="0"/>
              <w:spacing w:line="500" w:lineRule="exact"/>
              <w:jc w:val="center"/>
              <w:rPr>
                <w:rFonts w:ascii="宋体" w:hAnsi="宋体"/>
                <w:sz w:val="24"/>
              </w:rPr>
            </w:pPr>
          </w:p>
        </w:tc>
        <w:tc>
          <w:tcPr>
            <w:tcW w:w="2097" w:type="dxa"/>
            <w:gridSpan w:val="2"/>
            <w:vMerge w:val="continue"/>
            <w:noWrap/>
            <w:vAlign w:val="center"/>
          </w:tcPr>
          <w:p>
            <w:pPr>
              <w:adjustRightInd w:val="0"/>
              <w:snapToGrid w:val="0"/>
              <w:spacing w:line="500" w:lineRule="exact"/>
              <w:jc w:val="center"/>
              <w:rPr>
                <w:rFonts w:ascii="宋体" w:hAnsi="宋体"/>
                <w:sz w:val="24"/>
              </w:rPr>
            </w:pPr>
          </w:p>
        </w:tc>
        <w:tc>
          <w:tcPr>
            <w:tcW w:w="5787" w:type="dxa"/>
            <w:noWrap/>
          </w:tcPr>
          <w:p>
            <w:pPr>
              <w:adjustRightInd w:val="0"/>
              <w:snapToGrid w:val="0"/>
              <w:spacing w:line="400" w:lineRule="exact"/>
              <w:rPr>
                <w:rFonts w:ascii="宋体" w:hAnsi="宋体"/>
                <w:sz w:val="24"/>
              </w:rPr>
            </w:pPr>
            <w:r>
              <w:rPr>
                <w:rFonts w:hint="eastAsia" w:ascii="宋体" w:hAnsi="宋体"/>
                <w:sz w:val="24"/>
              </w:rPr>
              <w:t>投标面料检测报告数据等情况（包括面料定量、定性分析，色牢度报告、起毛起球报告、强力报告等情况，是否含有偶氮成份等有毒成份等）</w:t>
            </w:r>
            <w:r>
              <w:rPr>
                <w:rFonts w:hint="eastAsia" w:ascii="宋体" w:hAnsi="宋体" w:cs="Tahoma"/>
                <w:sz w:val="24"/>
              </w:rPr>
              <w:t>（</w:t>
            </w:r>
            <w:r>
              <w:rPr>
                <w:rFonts w:hint="eastAsia" w:ascii="宋体" w:hAnsi="宋体"/>
                <w:sz w:val="24"/>
              </w:rPr>
              <w:t>参考谈判响应方提供的具体检测报告）（3分）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noWrap/>
          </w:tcPr>
          <w:p>
            <w:pPr>
              <w:adjustRightInd w:val="0"/>
              <w:snapToGrid w:val="0"/>
              <w:spacing w:line="500" w:lineRule="exact"/>
              <w:jc w:val="center"/>
              <w:rPr>
                <w:rFonts w:ascii="宋体" w:hAnsi="宋体"/>
                <w:sz w:val="24"/>
              </w:rPr>
            </w:pPr>
          </w:p>
        </w:tc>
        <w:tc>
          <w:tcPr>
            <w:tcW w:w="2097" w:type="dxa"/>
            <w:gridSpan w:val="2"/>
            <w:vMerge w:val="continue"/>
            <w:noWrap/>
            <w:vAlign w:val="center"/>
          </w:tcPr>
          <w:p>
            <w:pPr>
              <w:adjustRightInd w:val="0"/>
              <w:snapToGrid w:val="0"/>
              <w:spacing w:line="500" w:lineRule="exact"/>
              <w:jc w:val="center"/>
              <w:rPr>
                <w:rFonts w:ascii="宋体" w:hAnsi="宋体"/>
                <w:sz w:val="24"/>
              </w:rPr>
            </w:pPr>
          </w:p>
        </w:tc>
        <w:tc>
          <w:tcPr>
            <w:tcW w:w="5787" w:type="dxa"/>
            <w:noWrap/>
          </w:tcPr>
          <w:p>
            <w:pPr>
              <w:adjustRightInd w:val="0"/>
              <w:snapToGrid w:val="0"/>
              <w:spacing w:line="400" w:lineRule="exact"/>
              <w:rPr>
                <w:rFonts w:ascii="宋体" w:hAnsi="宋体"/>
                <w:sz w:val="24"/>
              </w:rPr>
            </w:pPr>
            <w:r>
              <w:rPr>
                <w:rFonts w:hint="eastAsia" w:ascii="宋体" w:hAnsi="宋体" w:cs="Tahoma"/>
                <w:sz w:val="24"/>
              </w:rPr>
              <w:t>投标产品的制造工艺水平，包括生产设备、生产流程、制作工序、质量检验与检测等情况（</w:t>
            </w:r>
            <w:r>
              <w:rPr>
                <w:rFonts w:hint="eastAsia" w:ascii="宋体" w:hAnsi="宋体"/>
                <w:sz w:val="24"/>
              </w:rPr>
              <w:t>参考谈判响应方提供的样衣及投标人提供的其他资料）（4分）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noWrap/>
          </w:tcPr>
          <w:p>
            <w:pPr>
              <w:adjustRightInd w:val="0"/>
              <w:snapToGrid w:val="0"/>
              <w:spacing w:line="500" w:lineRule="exact"/>
              <w:jc w:val="center"/>
              <w:rPr>
                <w:rFonts w:ascii="宋体" w:hAnsi="宋体"/>
                <w:sz w:val="24"/>
              </w:rPr>
            </w:pPr>
          </w:p>
        </w:tc>
        <w:tc>
          <w:tcPr>
            <w:tcW w:w="2097" w:type="dxa"/>
            <w:gridSpan w:val="2"/>
            <w:vMerge w:val="continue"/>
            <w:noWrap/>
            <w:vAlign w:val="center"/>
          </w:tcPr>
          <w:p>
            <w:pPr>
              <w:adjustRightInd w:val="0"/>
              <w:snapToGrid w:val="0"/>
              <w:spacing w:line="500" w:lineRule="exact"/>
              <w:jc w:val="center"/>
              <w:rPr>
                <w:rFonts w:ascii="宋体" w:hAnsi="宋体"/>
                <w:sz w:val="24"/>
              </w:rPr>
            </w:pPr>
          </w:p>
        </w:tc>
        <w:tc>
          <w:tcPr>
            <w:tcW w:w="5787" w:type="dxa"/>
            <w:noWrap/>
          </w:tcPr>
          <w:p>
            <w:pPr>
              <w:adjustRightInd w:val="0"/>
              <w:snapToGrid w:val="0"/>
              <w:spacing w:line="400" w:lineRule="exact"/>
              <w:rPr>
                <w:rFonts w:ascii="宋体" w:hAnsi="宋体"/>
                <w:sz w:val="24"/>
              </w:rPr>
            </w:pPr>
            <w:r>
              <w:rPr>
                <w:rFonts w:hint="eastAsia" w:ascii="宋体" w:hAnsi="宋体"/>
                <w:sz w:val="24"/>
              </w:rPr>
              <w:t>投标产品的知名度、信誉，产品</w:t>
            </w:r>
            <w:r>
              <w:rPr>
                <w:rFonts w:hint="eastAsia" w:ascii="宋体" w:hAnsi="宋体" w:cs="Tahoma"/>
                <w:sz w:val="24"/>
              </w:rPr>
              <w:t>投放市场和</w:t>
            </w:r>
            <w:r>
              <w:rPr>
                <w:rFonts w:hint="eastAsia" w:ascii="宋体" w:hAnsi="宋体"/>
                <w:sz w:val="24"/>
              </w:rPr>
              <w:t>市场占有率情况（参考谈判响应方提供的有关证明等）（3分）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noWrap/>
          </w:tcPr>
          <w:p>
            <w:pPr>
              <w:adjustRightInd w:val="0"/>
              <w:snapToGrid w:val="0"/>
              <w:spacing w:line="500" w:lineRule="exact"/>
              <w:jc w:val="center"/>
              <w:rPr>
                <w:rFonts w:ascii="宋体" w:hAnsi="宋体"/>
                <w:sz w:val="24"/>
              </w:rPr>
            </w:pPr>
          </w:p>
        </w:tc>
        <w:tc>
          <w:tcPr>
            <w:tcW w:w="722" w:type="dxa"/>
            <w:vMerge w:val="restart"/>
            <w:noWrap/>
            <w:textDirection w:val="tbRlV"/>
            <w:vAlign w:val="center"/>
          </w:tcPr>
          <w:p>
            <w:pPr>
              <w:adjustRightInd w:val="0"/>
              <w:snapToGrid w:val="0"/>
              <w:spacing w:line="500" w:lineRule="exact"/>
              <w:ind w:right="113"/>
              <w:jc w:val="center"/>
              <w:rPr>
                <w:rFonts w:ascii="宋体" w:hAnsi="宋体"/>
                <w:sz w:val="24"/>
              </w:rPr>
            </w:pPr>
            <w:r>
              <w:rPr>
                <w:rFonts w:hint="eastAsia" w:ascii="宋体" w:hAnsi="宋体" w:cs="Tahoma"/>
                <w:sz w:val="24"/>
              </w:rPr>
              <w:t>样衣总体情况（24分）</w:t>
            </w:r>
          </w:p>
        </w:tc>
        <w:tc>
          <w:tcPr>
            <w:tcW w:w="1375" w:type="dxa"/>
            <w:vMerge w:val="restart"/>
            <w:noWrap/>
          </w:tcPr>
          <w:p>
            <w:pPr>
              <w:adjustRightInd w:val="0"/>
              <w:snapToGrid w:val="0"/>
              <w:spacing w:line="500" w:lineRule="exact"/>
              <w:rPr>
                <w:rFonts w:ascii="宋体" w:hAnsi="宋体"/>
                <w:sz w:val="24"/>
              </w:rPr>
            </w:pPr>
            <w:r>
              <w:rPr>
                <w:rFonts w:hint="eastAsia" w:ascii="宋体" w:hAnsi="宋体"/>
                <w:sz w:val="24"/>
              </w:rPr>
              <w:t>此处侧重于面料质量、款式、穿着舒适度、设计细节等的综合对比，专家打分以各窗口负责人的投票结果为主要依据。</w:t>
            </w:r>
          </w:p>
        </w:tc>
        <w:tc>
          <w:tcPr>
            <w:tcW w:w="5787" w:type="dxa"/>
            <w:noWrap/>
            <w:vAlign w:val="center"/>
          </w:tcPr>
          <w:p>
            <w:pPr>
              <w:adjustRightInd w:val="0"/>
              <w:snapToGrid w:val="0"/>
              <w:spacing w:line="400" w:lineRule="exact"/>
              <w:rPr>
                <w:rFonts w:ascii="宋体" w:hAnsi="宋体"/>
                <w:sz w:val="24"/>
              </w:rPr>
            </w:pPr>
            <w:r>
              <w:rPr>
                <w:rFonts w:hint="eastAsia" w:ascii="宋体" w:hAnsi="宋体"/>
                <w:sz w:val="24"/>
              </w:rPr>
              <w:t>谈判响应方是否按采购文件要求提供样衣（参考谈判响应方提供的所投服装的样衣，否则投标无效）（10分）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noWrap/>
          </w:tcPr>
          <w:p>
            <w:pPr>
              <w:adjustRightInd w:val="0"/>
              <w:snapToGrid w:val="0"/>
              <w:spacing w:line="500" w:lineRule="exact"/>
              <w:jc w:val="center"/>
              <w:rPr>
                <w:rFonts w:ascii="宋体" w:hAnsi="宋体"/>
                <w:sz w:val="24"/>
              </w:rPr>
            </w:pPr>
          </w:p>
        </w:tc>
        <w:tc>
          <w:tcPr>
            <w:tcW w:w="722" w:type="dxa"/>
            <w:vMerge w:val="continue"/>
            <w:noWrap/>
            <w:vAlign w:val="center"/>
          </w:tcPr>
          <w:p>
            <w:pPr>
              <w:adjustRightInd w:val="0"/>
              <w:snapToGrid w:val="0"/>
              <w:spacing w:line="500" w:lineRule="exact"/>
              <w:jc w:val="center"/>
              <w:rPr>
                <w:rFonts w:ascii="宋体" w:hAnsi="宋体"/>
                <w:sz w:val="24"/>
              </w:rPr>
            </w:pPr>
          </w:p>
        </w:tc>
        <w:tc>
          <w:tcPr>
            <w:tcW w:w="1375" w:type="dxa"/>
            <w:vMerge w:val="continue"/>
            <w:noWrap/>
            <w:vAlign w:val="center"/>
          </w:tcPr>
          <w:p>
            <w:pPr>
              <w:adjustRightInd w:val="0"/>
              <w:snapToGrid w:val="0"/>
              <w:spacing w:line="500" w:lineRule="exact"/>
              <w:jc w:val="center"/>
              <w:rPr>
                <w:rFonts w:ascii="宋体" w:hAnsi="宋体"/>
                <w:sz w:val="24"/>
              </w:rPr>
            </w:pPr>
          </w:p>
        </w:tc>
        <w:tc>
          <w:tcPr>
            <w:tcW w:w="5787" w:type="dxa"/>
            <w:noWrap/>
          </w:tcPr>
          <w:p>
            <w:pPr>
              <w:adjustRightInd w:val="0"/>
              <w:snapToGrid w:val="0"/>
              <w:spacing w:line="400" w:lineRule="exact"/>
              <w:rPr>
                <w:rFonts w:ascii="宋体" w:hAnsi="宋体"/>
                <w:sz w:val="24"/>
              </w:rPr>
            </w:pPr>
            <w:r>
              <w:rPr>
                <w:rFonts w:hint="eastAsia" w:ascii="宋体" w:hAnsi="宋体"/>
                <w:sz w:val="24"/>
              </w:rPr>
              <w:t>谈判响应方提供的样衣</w:t>
            </w:r>
            <w:r>
              <w:rPr>
                <w:rFonts w:hint="eastAsia" w:ascii="宋体" w:hAnsi="宋体" w:cs="Tahoma"/>
                <w:sz w:val="24"/>
              </w:rPr>
              <w:t>是否符合采购文件和采购人需求，特别是样衣的款式设计是否结合采购人的工作环境体现高雅、大气</w:t>
            </w:r>
            <w:r>
              <w:rPr>
                <w:rFonts w:hint="eastAsia" w:ascii="宋体" w:hAnsi="宋体"/>
                <w:sz w:val="24"/>
              </w:rPr>
              <w:t>；穿着是否美观、舒适；质地、面料是否实用、耐用；周身的服帖度，松紧度是否适宜（参考谈判响应方提供的所投服装的样衣）（8分）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noWrap/>
          </w:tcPr>
          <w:p>
            <w:pPr>
              <w:adjustRightInd w:val="0"/>
              <w:snapToGrid w:val="0"/>
              <w:spacing w:line="500" w:lineRule="exact"/>
              <w:jc w:val="center"/>
              <w:rPr>
                <w:rFonts w:ascii="宋体" w:hAnsi="宋体"/>
                <w:sz w:val="24"/>
              </w:rPr>
            </w:pPr>
          </w:p>
        </w:tc>
        <w:tc>
          <w:tcPr>
            <w:tcW w:w="722" w:type="dxa"/>
            <w:vMerge w:val="continue"/>
            <w:noWrap/>
            <w:vAlign w:val="center"/>
          </w:tcPr>
          <w:p>
            <w:pPr>
              <w:adjustRightInd w:val="0"/>
              <w:snapToGrid w:val="0"/>
              <w:spacing w:line="500" w:lineRule="exact"/>
              <w:jc w:val="center"/>
              <w:rPr>
                <w:rFonts w:ascii="宋体" w:hAnsi="宋体"/>
                <w:sz w:val="24"/>
              </w:rPr>
            </w:pPr>
          </w:p>
        </w:tc>
        <w:tc>
          <w:tcPr>
            <w:tcW w:w="1375" w:type="dxa"/>
            <w:vMerge w:val="continue"/>
            <w:noWrap/>
            <w:vAlign w:val="center"/>
          </w:tcPr>
          <w:p>
            <w:pPr>
              <w:adjustRightInd w:val="0"/>
              <w:snapToGrid w:val="0"/>
              <w:spacing w:line="500" w:lineRule="exact"/>
              <w:jc w:val="center"/>
              <w:rPr>
                <w:rFonts w:ascii="宋体" w:hAnsi="宋体"/>
                <w:sz w:val="24"/>
              </w:rPr>
            </w:pPr>
          </w:p>
        </w:tc>
        <w:tc>
          <w:tcPr>
            <w:tcW w:w="5787" w:type="dxa"/>
            <w:noWrap/>
          </w:tcPr>
          <w:p>
            <w:pPr>
              <w:adjustRightInd w:val="0"/>
              <w:snapToGrid w:val="0"/>
              <w:spacing w:line="400" w:lineRule="exact"/>
              <w:rPr>
                <w:rFonts w:ascii="宋体" w:hAnsi="宋体"/>
                <w:sz w:val="24"/>
              </w:rPr>
            </w:pPr>
            <w:r>
              <w:rPr>
                <w:rFonts w:hint="eastAsia" w:ascii="宋体" w:hAnsi="宋体"/>
                <w:sz w:val="24"/>
              </w:rPr>
              <w:t>谈判响应方提供的样衣在细节设计上是否体现细致、精巧，具有独到的创意和见解，拼接、打褶部分的处理是否平整，线头的处理等（参考谈判响应方提供的所投服装的样衣）（6分）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noWrap/>
          </w:tcPr>
          <w:p>
            <w:pPr>
              <w:adjustRightInd w:val="0"/>
              <w:snapToGrid w:val="0"/>
              <w:spacing w:line="500" w:lineRule="exact"/>
              <w:jc w:val="center"/>
              <w:rPr>
                <w:rFonts w:ascii="宋体" w:hAnsi="宋体"/>
                <w:sz w:val="24"/>
              </w:rPr>
            </w:pPr>
          </w:p>
        </w:tc>
        <w:tc>
          <w:tcPr>
            <w:tcW w:w="2097" w:type="dxa"/>
            <w:gridSpan w:val="2"/>
            <w:noWrap/>
            <w:vAlign w:val="center"/>
          </w:tcPr>
          <w:p>
            <w:pPr>
              <w:adjustRightInd w:val="0"/>
              <w:snapToGrid w:val="0"/>
              <w:spacing w:line="500" w:lineRule="exact"/>
              <w:jc w:val="center"/>
              <w:rPr>
                <w:rFonts w:ascii="宋体" w:hAnsi="宋体"/>
                <w:sz w:val="24"/>
              </w:rPr>
            </w:pPr>
            <w:r>
              <w:rPr>
                <w:rFonts w:hint="eastAsia" w:ascii="宋体" w:hAnsi="宋体"/>
                <w:sz w:val="24"/>
              </w:rPr>
              <w:t>投标样衣的主要辅料的比较（4分）</w:t>
            </w:r>
          </w:p>
        </w:tc>
        <w:tc>
          <w:tcPr>
            <w:tcW w:w="5787" w:type="dxa"/>
            <w:noWrap/>
          </w:tcPr>
          <w:p>
            <w:pPr>
              <w:adjustRightInd w:val="0"/>
              <w:snapToGrid w:val="0"/>
              <w:spacing w:line="400" w:lineRule="exact"/>
              <w:rPr>
                <w:rFonts w:ascii="宋体" w:hAnsi="宋体"/>
                <w:sz w:val="24"/>
              </w:rPr>
            </w:pPr>
            <w:r>
              <w:rPr>
                <w:rFonts w:hint="eastAsia" w:ascii="宋体" w:hAnsi="宋体"/>
                <w:sz w:val="24"/>
              </w:rPr>
              <w:t>谈判响应方是否按采购文件要求提供辅料小样，根据辅料小样，对投标产品选用的辅助材料及配件进行比较，</w:t>
            </w:r>
            <w:r>
              <w:rPr>
                <w:rFonts w:hint="eastAsia" w:ascii="宋体" w:hAnsi="宋体" w:cs="Tahoma"/>
                <w:sz w:val="24"/>
              </w:rPr>
              <w:t>是否符合采购文件和采购人需求，</w:t>
            </w:r>
            <w:r>
              <w:rPr>
                <w:rFonts w:hint="eastAsia" w:ascii="宋体" w:hAnsi="宋体"/>
                <w:sz w:val="24"/>
              </w:rPr>
              <w:t>选用的辅助材料及配件</w:t>
            </w:r>
            <w:r>
              <w:rPr>
                <w:rFonts w:hint="eastAsia" w:ascii="宋体" w:hAnsi="宋体" w:cs="Tahoma"/>
                <w:sz w:val="24"/>
              </w:rPr>
              <w:t>与需求的吻合程度</w:t>
            </w:r>
            <w:r>
              <w:rPr>
                <w:rFonts w:hint="eastAsia" w:ascii="宋体" w:hAnsi="宋体"/>
                <w:sz w:val="24"/>
              </w:rPr>
              <w:t>和偏差情况等（参考采购文件提供的辅料要求说明及谈判响应方提供的所投服装的辅料小样）（4分）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noWrap/>
          </w:tcPr>
          <w:p>
            <w:pPr>
              <w:adjustRightInd w:val="0"/>
              <w:snapToGrid w:val="0"/>
              <w:spacing w:line="500" w:lineRule="exact"/>
              <w:jc w:val="center"/>
              <w:rPr>
                <w:rFonts w:ascii="宋体" w:hAnsi="宋体"/>
                <w:sz w:val="24"/>
              </w:rPr>
            </w:pPr>
          </w:p>
        </w:tc>
        <w:tc>
          <w:tcPr>
            <w:tcW w:w="2097" w:type="dxa"/>
            <w:gridSpan w:val="2"/>
            <w:noWrap/>
            <w:vAlign w:val="center"/>
          </w:tcPr>
          <w:p>
            <w:pPr>
              <w:adjustRightInd w:val="0"/>
              <w:snapToGrid w:val="0"/>
              <w:spacing w:line="500" w:lineRule="exact"/>
              <w:jc w:val="center"/>
              <w:rPr>
                <w:rFonts w:ascii="宋体" w:hAnsi="宋体"/>
                <w:sz w:val="24"/>
              </w:rPr>
            </w:pPr>
            <w:r>
              <w:rPr>
                <w:rFonts w:hint="eastAsia" w:ascii="宋体" w:hAnsi="宋体" w:cs="Tahoma"/>
                <w:sz w:val="24"/>
              </w:rPr>
              <w:t>组织实施方案（1分）</w:t>
            </w:r>
          </w:p>
        </w:tc>
        <w:tc>
          <w:tcPr>
            <w:tcW w:w="5787" w:type="dxa"/>
            <w:noWrap/>
          </w:tcPr>
          <w:p>
            <w:pPr>
              <w:adjustRightInd w:val="0"/>
              <w:snapToGrid w:val="0"/>
              <w:spacing w:line="400" w:lineRule="exact"/>
              <w:rPr>
                <w:rFonts w:ascii="宋体" w:hAnsi="宋体"/>
                <w:sz w:val="24"/>
              </w:rPr>
            </w:pPr>
            <w:r>
              <w:rPr>
                <w:rFonts w:hint="eastAsia" w:ascii="宋体" w:hAnsi="宋体" w:cs="Tahoma"/>
                <w:sz w:val="24"/>
              </w:rPr>
              <w:t>投标方案与需求的吻合程度，组织实施方案的科学性、合理性、规范性、可操作性等，</w:t>
            </w:r>
            <w:r>
              <w:rPr>
                <w:rFonts w:hint="eastAsia" w:ascii="宋体" w:hAnsi="宋体" w:cs="仿宋_GB2312"/>
                <w:kern w:val="0"/>
                <w:sz w:val="24"/>
                <w:lang w:val="zh-CN"/>
              </w:rPr>
              <w:t>包括</w:t>
            </w:r>
            <w:r>
              <w:rPr>
                <w:rFonts w:hint="eastAsia" w:ascii="宋体" w:hAnsi="宋体"/>
                <w:sz w:val="24"/>
              </w:rPr>
              <w:t>面料采购、生产及供货、</w:t>
            </w:r>
            <w:r>
              <w:rPr>
                <w:rFonts w:hint="eastAsia" w:ascii="宋体" w:hAnsi="宋体" w:cs="仿宋_GB2312"/>
                <w:kern w:val="0"/>
                <w:sz w:val="24"/>
                <w:lang w:val="zh-CN"/>
              </w:rPr>
              <w:t>使用维护、检测、验收等内容</w:t>
            </w:r>
            <w:r>
              <w:rPr>
                <w:rFonts w:hint="eastAsia" w:ascii="宋体" w:hAnsi="宋体" w:cs="Tahoma"/>
                <w:sz w:val="24"/>
              </w:rPr>
              <w:t>，</w:t>
            </w:r>
            <w:r>
              <w:rPr>
                <w:rFonts w:hint="eastAsia" w:ascii="宋体" w:hAnsi="宋体"/>
                <w:sz w:val="24"/>
              </w:rPr>
              <w:t>以及组织机构、工作时间进度表、工作程序和步骤、管理和协调方法、关键步骤的思路和要点等（1分）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noWrap/>
          </w:tcPr>
          <w:p>
            <w:pPr>
              <w:adjustRightInd w:val="0"/>
              <w:snapToGrid w:val="0"/>
              <w:spacing w:line="500" w:lineRule="exact"/>
              <w:jc w:val="center"/>
              <w:rPr>
                <w:rFonts w:ascii="宋体" w:hAnsi="宋体"/>
                <w:sz w:val="24"/>
              </w:rPr>
            </w:pPr>
          </w:p>
        </w:tc>
        <w:tc>
          <w:tcPr>
            <w:tcW w:w="2097" w:type="dxa"/>
            <w:gridSpan w:val="2"/>
            <w:vMerge w:val="restart"/>
            <w:noWrap/>
            <w:textDirection w:val="tbRlV"/>
            <w:vAlign w:val="center"/>
          </w:tcPr>
          <w:p>
            <w:pPr>
              <w:adjustRightInd w:val="0"/>
              <w:snapToGrid w:val="0"/>
              <w:spacing w:line="500" w:lineRule="exact"/>
              <w:ind w:right="113"/>
              <w:jc w:val="center"/>
              <w:rPr>
                <w:rFonts w:ascii="宋体" w:hAnsi="宋体"/>
                <w:sz w:val="24"/>
              </w:rPr>
            </w:pPr>
            <w:r>
              <w:rPr>
                <w:rFonts w:hint="eastAsia" w:ascii="宋体" w:hAnsi="宋体"/>
                <w:sz w:val="24"/>
              </w:rPr>
              <w:t>售后服务方案（3分）</w:t>
            </w:r>
          </w:p>
        </w:tc>
        <w:tc>
          <w:tcPr>
            <w:tcW w:w="5787" w:type="dxa"/>
            <w:noWrap/>
          </w:tcPr>
          <w:p>
            <w:pPr>
              <w:adjustRightInd w:val="0"/>
              <w:snapToGrid w:val="0"/>
              <w:spacing w:line="400" w:lineRule="exact"/>
              <w:rPr>
                <w:rFonts w:ascii="宋体" w:hAnsi="宋体"/>
                <w:sz w:val="24"/>
              </w:rPr>
            </w:pPr>
            <w:r>
              <w:rPr>
                <w:rFonts w:hint="eastAsia" w:ascii="宋体" w:hAnsi="宋体"/>
                <w:sz w:val="24"/>
              </w:rPr>
              <w:t>谈判响应方提供的售后服务方案、维护人员和机构等情况，服装质保期限情况，对交货后不合身的服装及质保期内出现问题的服装所采取的措施，在有效期内上门服务以及服务承诺的可行性、完整性</w:t>
            </w:r>
            <w:r>
              <w:rPr>
                <w:rFonts w:hint="eastAsia" w:ascii="宋体" w:hAnsi="宋体" w:cs="Tahoma"/>
                <w:sz w:val="24"/>
              </w:rPr>
              <w:t>，</w:t>
            </w:r>
            <w:r>
              <w:rPr>
                <w:rFonts w:hint="eastAsia" w:ascii="宋体" w:hAnsi="宋体"/>
                <w:sz w:val="24"/>
              </w:rPr>
              <w:t>服务承诺落实的保障措施等（2分）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noWrap/>
          </w:tcPr>
          <w:p>
            <w:pPr>
              <w:adjustRightInd w:val="0"/>
              <w:snapToGrid w:val="0"/>
              <w:spacing w:line="500" w:lineRule="exact"/>
              <w:jc w:val="center"/>
              <w:rPr>
                <w:rFonts w:ascii="宋体" w:hAnsi="宋体"/>
                <w:sz w:val="24"/>
              </w:rPr>
            </w:pPr>
          </w:p>
        </w:tc>
        <w:tc>
          <w:tcPr>
            <w:tcW w:w="2097" w:type="dxa"/>
            <w:gridSpan w:val="2"/>
            <w:vMerge w:val="continue"/>
            <w:noWrap/>
            <w:vAlign w:val="center"/>
          </w:tcPr>
          <w:p>
            <w:pPr>
              <w:adjustRightInd w:val="0"/>
              <w:snapToGrid w:val="0"/>
              <w:spacing w:line="500" w:lineRule="exact"/>
              <w:jc w:val="center"/>
              <w:rPr>
                <w:rFonts w:ascii="宋体" w:hAnsi="宋体"/>
                <w:sz w:val="24"/>
              </w:rPr>
            </w:pPr>
          </w:p>
        </w:tc>
        <w:tc>
          <w:tcPr>
            <w:tcW w:w="5787" w:type="dxa"/>
            <w:noWrap/>
          </w:tcPr>
          <w:p>
            <w:pPr>
              <w:adjustRightInd w:val="0"/>
              <w:snapToGrid w:val="0"/>
              <w:spacing w:line="400" w:lineRule="exact"/>
              <w:rPr>
                <w:rFonts w:ascii="宋体" w:hAnsi="宋体"/>
                <w:sz w:val="24"/>
              </w:rPr>
            </w:pPr>
            <w:r>
              <w:rPr>
                <w:rFonts w:hint="eastAsia" w:ascii="宋体" w:hAnsi="宋体"/>
                <w:sz w:val="24"/>
              </w:rPr>
              <w:t>谈判响应方提供的售后维护机构和人员等情况，是否具有较强的本地化服务能力，</w:t>
            </w:r>
            <w:r>
              <w:rPr>
                <w:rFonts w:hint="eastAsia" w:ascii="宋体" w:hAnsi="宋体"/>
                <w:sz w:val="24"/>
                <w:lang w:val="zh-CN"/>
              </w:rPr>
              <w:t>在本地是否拥有常驻服务和技术支持机构</w:t>
            </w:r>
            <w:r>
              <w:rPr>
                <w:rFonts w:hint="eastAsia" w:ascii="宋体" w:hAnsi="宋体"/>
                <w:sz w:val="24"/>
              </w:rPr>
              <w:t>[</w:t>
            </w:r>
            <w:r>
              <w:rPr>
                <w:rFonts w:hint="eastAsia" w:ascii="宋体" w:hAnsi="宋体"/>
                <w:snapToGrid w:val="0"/>
                <w:sz w:val="24"/>
              </w:rPr>
              <w:t>非本地投标人</w:t>
            </w:r>
            <w:r>
              <w:rPr>
                <w:rFonts w:hint="eastAsia" w:ascii="宋体" w:hAnsi="宋体"/>
                <w:sz w:val="24"/>
                <w:lang w:val="zh-CN"/>
              </w:rPr>
              <w:t>在重庆主城区是否有分公司或办事处作为常驻服务和技术支持机构]以及</w:t>
            </w:r>
            <w:r>
              <w:rPr>
                <w:rFonts w:hint="eastAsia" w:ascii="宋体" w:hAnsi="宋体"/>
                <w:sz w:val="24"/>
              </w:rPr>
              <w:t>较强的专业技术队伍，能提供快速的售后服务响应（1分）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634" w:type="dxa"/>
            <w:vMerge w:val="continue"/>
            <w:noWrap/>
          </w:tcPr>
          <w:p>
            <w:pPr>
              <w:adjustRightInd w:val="0"/>
              <w:snapToGrid w:val="0"/>
              <w:spacing w:line="500" w:lineRule="exact"/>
              <w:jc w:val="center"/>
              <w:rPr>
                <w:rFonts w:ascii="宋体" w:hAnsi="宋体"/>
                <w:sz w:val="24"/>
              </w:rPr>
            </w:pPr>
          </w:p>
        </w:tc>
        <w:tc>
          <w:tcPr>
            <w:tcW w:w="2097" w:type="dxa"/>
            <w:gridSpan w:val="2"/>
            <w:vMerge w:val="restart"/>
            <w:noWrap/>
            <w:vAlign w:val="center"/>
          </w:tcPr>
          <w:p>
            <w:pPr>
              <w:adjustRightInd w:val="0"/>
              <w:snapToGrid w:val="0"/>
              <w:spacing w:line="500" w:lineRule="exact"/>
              <w:jc w:val="center"/>
              <w:rPr>
                <w:rFonts w:ascii="宋体" w:hAnsi="宋体"/>
                <w:sz w:val="24"/>
              </w:rPr>
            </w:pPr>
            <w:r>
              <w:rPr>
                <w:rFonts w:hint="eastAsia" w:ascii="宋体" w:hAnsi="宋体" w:cs="Wingdings"/>
                <w:sz w:val="24"/>
              </w:rPr>
              <w:t>质量保证措施和</w:t>
            </w:r>
            <w:r>
              <w:rPr>
                <w:rFonts w:hint="eastAsia" w:ascii="宋体" w:hAnsi="宋体"/>
                <w:sz w:val="24"/>
              </w:rPr>
              <w:t>建设工期情况（2分）</w:t>
            </w:r>
          </w:p>
        </w:tc>
        <w:tc>
          <w:tcPr>
            <w:tcW w:w="5787" w:type="dxa"/>
            <w:noWrap/>
          </w:tcPr>
          <w:p>
            <w:pPr>
              <w:adjustRightInd w:val="0"/>
              <w:snapToGrid w:val="0"/>
              <w:spacing w:line="400" w:lineRule="exact"/>
              <w:rPr>
                <w:rFonts w:ascii="宋体" w:hAnsi="宋体"/>
                <w:sz w:val="24"/>
              </w:rPr>
            </w:pPr>
            <w:r>
              <w:rPr>
                <w:rFonts w:hint="eastAsia" w:ascii="宋体" w:hAnsi="宋体"/>
                <w:sz w:val="24"/>
              </w:rPr>
              <w:t>谈判响应方</w:t>
            </w:r>
            <w:r>
              <w:rPr>
                <w:rFonts w:hint="eastAsia" w:ascii="宋体" w:hAnsi="宋体" w:cs="Wingdings"/>
                <w:sz w:val="24"/>
              </w:rPr>
              <w:t>按采购单位要求有明确的质量保证目标，质量保证措施和体系合理先进等</w:t>
            </w:r>
            <w:r>
              <w:rPr>
                <w:rFonts w:hint="eastAsia" w:ascii="宋体" w:hAnsi="宋体"/>
                <w:sz w:val="24"/>
              </w:rPr>
              <w:t>（1分）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10" w:hRule="atLeast"/>
          <w:jc w:val="center"/>
        </w:trPr>
        <w:tc>
          <w:tcPr>
            <w:tcW w:w="634" w:type="dxa"/>
            <w:vMerge w:val="continue"/>
            <w:noWrap/>
          </w:tcPr>
          <w:p>
            <w:pPr>
              <w:adjustRightInd w:val="0"/>
              <w:snapToGrid w:val="0"/>
              <w:spacing w:line="500" w:lineRule="exact"/>
              <w:jc w:val="center"/>
              <w:rPr>
                <w:rFonts w:ascii="宋体" w:hAnsi="宋体"/>
                <w:sz w:val="24"/>
              </w:rPr>
            </w:pPr>
          </w:p>
        </w:tc>
        <w:tc>
          <w:tcPr>
            <w:tcW w:w="2097" w:type="dxa"/>
            <w:gridSpan w:val="2"/>
            <w:vMerge w:val="continue"/>
            <w:noWrap/>
            <w:vAlign w:val="center"/>
          </w:tcPr>
          <w:p>
            <w:pPr>
              <w:adjustRightInd w:val="0"/>
              <w:snapToGrid w:val="0"/>
              <w:spacing w:line="500" w:lineRule="exact"/>
              <w:jc w:val="center"/>
              <w:rPr>
                <w:rFonts w:ascii="宋体" w:hAnsi="宋体" w:cs="Wingdings"/>
                <w:sz w:val="24"/>
              </w:rPr>
            </w:pPr>
          </w:p>
        </w:tc>
        <w:tc>
          <w:tcPr>
            <w:tcW w:w="5787" w:type="dxa"/>
            <w:noWrap/>
          </w:tcPr>
          <w:p>
            <w:pPr>
              <w:adjustRightInd w:val="0"/>
              <w:snapToGrid w:val="0"/>
              <w:spacing w:line="400" w:lineRule="exact"/>
              <w:rPr>
                <w:rFonts w:ascii="宋体" w:hAnsi="宋体"/>
                <w:szCs w:val="21"/>
              </w:rPr>
            </w:pPr>
            <w:r>
              <w:rPr>
                <w:rFonts w:hint="eastAsia" w:ascii="宋体" w:hAnsi="宋体" w:cs="Tahoma"/>
                <w:sz w:val="24"/>
              </w:rPr>
              <w:t>是否符合采购文件和采购单位要求完成</w:t>
            </w:r>
            <w:r>
              <w:rPr>
                <w:rFonts w:hint="eastAsia" w:ascii="宋体" w:hAnsi="宋体"/>
                <w:sz w:val="24"/>
              </w:rPr>
              <w:t>面料采购、生产及供货，</w:t>
            </w:r>
            <w:r>
              <w:rPr>
                <w:rFonts w:hint="eastAsia" w:ascii="宋体" w:hAnsi="宋体" w:cs="Tahoma"/>
                <w:sz w:val="24"/>
              </w:rPr>
              <w:t>是否承诺在采购文件要求的时间</w:t>
            </w:r>
            <w:r>
              <w:rPr>
                <w:rFonts w:hint="eastAsia" w:ascii="宋体" w:hAnsi="宋体"/>
                <w:sz w:val="24"/>
              </w:rPr>
              <w:t>前确保按时交付，以及所采取的措施情况等（1分）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noWrap/>
          </w:tcPr>
          <w:p>
            <w:pPr>
              <w:adjustRightInd w:val="0"/>
              <w:snapToGrid w:val="0"/>
              <w:spacing w:line="500" w:lineRule="exact"/>
              <w:jc w:val="center"/>
              <w:rPr>
                <w:rFonts w:ascii="宋体" w:hAnsi="宋体"/>
                <w:sz w:val="24"/>
              </w:rPr>
            </w:pPr>
          </w:p>
        </w:tc>
        <w:tc>
          <w:tcPr>
            <w:tcW w:w="2097" w:type="dxa"/>
            <w:gridSpan w:val="2"/>
            <w:noWrap/>
            <w:vAlign w:val="center"/>
          </w:tcPr>
          <w:p>
            <w:pPr>
              <w:adjustRightInd w:val="0"/>
              <w:snapToGrid w:val="0"/>
              <w:spacing w:line="500" w:lineRule="exact"/>
              <w:jc w:val="center"/>
              <w:rPr>
                <w:rFonts w:ascii="宋体" w:hAnsi="宋体"/>
                <w:sz w:val="24"/>
              </w:rPr>
            </w:pPr>
            <w:r>
              <w:rPr>
                <w:rFonts w:hint="eastAsia" w:ascii="宋体" w:hAnsi="宋体" w:cs="Tahoma"/>
                <w:sz w:val="24"/>
              </w:rPr>
              <w:t>备品备件情况</w:t>
            </w:r>
            <w:r>
              <w:rPr>
                <w:rFonts w:hint="eastAsia" w:ascii="宋体" w:hAnsi="宋体"/>
                <w:sz w:val="24"/>
              </w:rPr>
              <w:t>（1分）</w:t>
            </w:r>
          </w:p>
        </w:tc>
        <w:tc>
          <w:tcPr>
            <w:tcW w:w="5787" w:type="dxa"/>
            <w:noWrap/>
          </w:tcPr>
          <w:p>
            <w:pPr>
              <w:adjustRightInd w:val="0"/>
              <w:snapToGrid w:val="0"/>
              <w:spacing w:line="400" w:lineRule="exact"/>
              <w:rPr>
                <w:rFonts w:ascii="宋体" w:hAnsi="宋体"/>
                <w:sz w:val="24"/>
              </w:rPr>
            </w:pPr>
            <w:r>
              <w:rPr>
                <w:rFonts w:hint="eastAsia" w:ascii="宋体" w:hAnsi="宋体"/>
                <w:sz w:val="24"/>
              </w:rPr>
              <w:t>服装附件、</w:t>
            </w:r>
            <w:r>
              <w:rPr>
                <w:rFonts w:hint="eastAsia" w:ascii="宋体" w:hAnsi="宋体" w:cs="Tahoma"/>
                <w:sz w:val="24"/>
              </w:rPr>
              <w:t>备品备件的</w:t>
            </w:r>
            <w:r>
              <w:rPr>
                <w:rFonts w:hint="eastAsia" w:ascii="宋体" w:hAnsi="宋体"/>
                <w:sz w:val="24"/>
              </w:rPr>
              <w:t>完整性、合理性等，是否承诺主要面料及辅料的备品备件按要求达到10％，并保留有效期三年（1分）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noWrap/>
          </w:tcPr>
          <w:p>
            <w:pPr>
              <w:adjustRightInd w:val="0"/>
              <w:snapToGrid w:val="0"/>
              <w:spacing w:line="500" w:lineRule="exact"/>
              <w:jc w:val="center"/>
              <w:rPr>
                <w:rFonts w:ascii="宋体" w:hAnsi="宋体"/>
                <w:sz w:val="24"/>
              </w:rPr>
            </w:pPr>
          </w:p>
        </w:tc>
        <w:tc>
          <w:tcPr>
            <w:tcW w:w="2097" w:type="dxa"/>
            <w:gridSpan w:val="2"/>
            <w:noWrap/>
            <w:vAlign w:val="center"/>
          </w:tcPr>
          <w:p>
            <w:pPr>
              <w:adjustRightInd w:val="0"/>
              <w:snapToGrid w:val="0"/>
              <w:spacing w:line="500" w:lineRule="exact"/>
              <w:jc w:val="center"/>
              <w:rPr>
                <w:rFonts w:ascii="宋体" w:hAnsi="宋体" w:cs="Tahoma"/>
                <w:sz w:val="24"/>
              </w:rPr>
            </w:pPr>
            <w:r>
              <w:rPr>
                <w:rFonts w:hint="eastAsia" w:ascii="宋体" w:hAnsi="宋体" w:cs="Tahoma"/>
                <w:sz w:val="24"/>
              </w:rPr>
              <w:t>承诺和优惠情况（1分）</w:t>
            </w:r>
          </w:p>
        </w:tc>
        <w:tc>
          <w:tcPr>
            <w:tcW w:w="5787" w:type="dxa"/>
            <w:noWrap/>
          </w:tcPr>
          <w:p>
            <w:pPr>
              <w:adjustRightInd w:val="0"/>
              <w:snapToGrid w:val="0"/>
              <w:spacing w:line="400" w:lineRule="exact"/>
              <w:rPr>
                <w:rFonts w:ascii="宋体" w:hAnsi="宋体" w:cs="Tahoma"/>
                <w:sz w:val="24"/>
              </w:rPr>
            </w:pPr>
            <w:r>
              <w:rPr>
                <w:rFonts w:hint="eastAsia" w:ascii="宋体" w:hAnsi="宋体" w:cs="Tahoma"/>
                <w:sz w:val="24"/>
              </w:rPr>
              <w:t>是否给出优惠和承诺，程度如何；对后续服务等方面的优惠承诺，以及针对本次采购的其他特殊优惠承诺等情况（1分）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restart"/>
            <w:noWrap/>
            <w:vAlign w:val="center"/>
          </w:tcPr>
          <w:p>
            <w:pPr>
              <w:adjustRightInd w:val="0"/>
              <w:snapToGrid w:val="0"/>
              <w:spacing w:line="500" w:lineRule="exact"/>
              <w:jc w:val="center"/>
              <w:rPr>
                <w:rFonts w:ascii="宋体" w:hAnsi="宋体"/>
                <w:sz w:val="24"/>
              </w:rPr>
            </w:pPr>
            <w:r>
              <w:rPr>
                <w:rFonts w:hint="eastAsia" w:ascii="宋体" w:hAnsi="宋体"/>
                <w:sz w:val="24"/>
              </w:rPr>
              <w:t>商务部分</w:t>
            </w:r>
          </w:p>
        </w:tc>
        <w:tc>
          <w:tcPr>
            <w:tcW w:w="2097" w:type="dxa"/>
            <w:gridSpan w:val="2"/>
            <w:noWrap/>
            <w:vAlign w:val="center"/>
          </w:tcPr>
          <w:p>
            <w:pPr>
              <w:adjustRightInd w:val="0"/>
              <w:snapToGrid w:val="0"/>
              <w:spacing w:line="500" w:lineRule="exact"/>
              <w:jc w:val="center"/>
              <w:rPr>
                <w:rFonts w:ascii="宋体" w:hAnsi="宋体"/>
                <w:sz w:val="24"/>
              </w:rPr>
            </w:pPr>
            <w:r>
              <w:rPr>
                <w:rFonts w:hint="eastAsia" w:ascii="宋体" w:hAnsi="宋体"/>
                <w:sz w:val="24"/>
              </w:rPr>
              <w:t>企业经营管理情况（1分）</w:t>
            </w:r>
          </w:p>
        </w:tc>
        <w:tc>
          <w:tcPr>
            <w:tcW w:w="5787" w:type="dxa"/>
            <w:noWrap/>
            <w:vAlign w:val="center"/>
          </w:tcPr>
          <w:p>
            <w:pPr>
              <w:adjustRightInd w:val="0"/>
              <w:snapToGrid w:val="0"/>
              <w:spacing w:line="400" w:lineRule="exact"/>
              <w:rPr>
                <w:rFonts w:ascii="宋体" w:hAnsi="宋体"/>
                <w:sz w:val="24"/>
              </w:rPr>
            </w:pPr>
            <w:r>
              <w:rPr>
                <w:rFonts w:hint="eastAsia" w:ascii="宋体" w:hAnsi="宋体"/>
                <w:sz w:val="24"/>
              </w:rPr>
              <w:t>企业内部管理规程，质量控制标准情况，所投标的服装是否符合国家和行业标准，针对项目的管理措施等情况（1分）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noWrap/>
          </w:tcPr>
          <w:p>
            <w:pPr>
              <w:adjustRightInd w:val="0"/>
              <w:snapToGrid w:val="0"/>
              <w:spacing w:line="500" w:lineRule="exact"/>
              <w:jc w:val="center"/>
              <w:rPr>
                <w:rFonts w:ascii="宋体" w:hAnsi="宋体"/>
                <w:sz w:val="24"/>
              </w:rPr>
            </w:pPr>
          </w:p>
        </w:tc>
        <w:tc>
          <w:tcPr>
            <w:tcW w:w="2097" w:type="dxa"/>
            <w:gridSpan w:val="2"/>
            <w:noWrap/>
            <w:vAlign w:val="center"/>
          </w:tcPr>
          <w:p>
            <w:pPr>
              <w:adjustRightInd w:val="0"/>
              <w:snapToGrid w:val="0"/>
              <w:spacing w:line="500" w:lineRule="exact"/>
              <w:jc w:val="center"/>
              <w:rPr>
                <w:rFonts w:ascii="宋体" w:hAnsi="宋体"/>
                <w:sz w:val="24"/>
              </w:rPr>
            </w:pPr>
            <w:r>
              <w:rPr>
                <w:rFonts w:hint="eastAsia" w:ascii="宋体" w:hAnsi="宋体" w:cs="Tahoma"/>
                <w:sz w:val="24"/>
              </w:rPr>
              <w:t>项目实施及人员情况（1分）</w:t>
            </w:r>
          </w:p>
        </w:tc>
        <w:tc>
          <w:tcPr>
            <w:tcW w:w="5787" w:type="dxa"/>
            <w:noWrap/>
          </w:tcPr>
          <w:p>
            <w:pPr>
              <w:adjustRightInd w:val="0"/>
              <w:snapToGrid w:val="0"/>
              <w:spacing w:line="400" w:lineRule="exact"/>
              <w:rPr>
                <w:rFonts w:ascii="宋体" w:hAnsi="宋体"/>
                <w:sz w:val="24"/>
              </w:rPr>
            </w:pPr>
            <w:r>
              <w:rPr>
                <w:rFonts w:hint="eastAsia" w:ascii="宋体" w:hAnsi="宋体"/>
                <w:sz w:val="24"/>
              </w:rPr>
              <w:t>拟担任本项目负责人具有类似项目建设经验，具有调动谈判响应方各项资源能力；安排参与项目的专业人员素质、技术能力、</w:t>
            </w:r>
            <w:r>
              <w:rPr>
                <w:rFonts w:hint="eastAsia" w:ascii="宋体" w:hAnsi="宋体" w:cs="Tahoma"/>
                <w:sz w:val="24"/>
              </w:rPr>
              <w:t>专业分布、</w:t>
            </w:r>
            <w:r>
              <w:rPr>
                <w:rFonts w:hint="eastAsia" w:ascii="宋体" w:hAnsi="宋体"/>
                <w:sz w:val="24"/>
              </w:rPr>
              <w:t>经验等情况；项目</w:t>
            </w:r>
            <w:r>
              <w:rPr>
                <w:rFonts w:hint="eastAsia" w:ascii="宋体" w:hAnsi="宋体" w:cs="Tahoma"/>
                <w:sz w:val="24"/>
              </w:rPr>
              <w:t>实施人员数量是否充足，配置是否合理；是否</w:t>
            </w:r>
            <w:r>
              <w:rPr>
                <w:rFonts w:hint="eastAsia" w:ascii="宋体" w:hAnsi="宋体"/>
                <w:sz w:val="24"/>
              </w:rPr>
              <w:t>具有类似项目的实施经验（1分）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634" w:type="dxa"/>
            <w:vMerge w:val="continue"/>
            <w:noWrap/>
          </w:tcPr>
          <w:p>
            <w:pPr>
              <w:adjustRightInd w:val="0"/>
              <w:snapToGrid w:val="0"/>
              <w:spacing w:line="500" w:lineRule="exact"/>
              <w:jc w:val="center"/>
              <w:rPr>
                <w:rFonts w:ascii="宋体" w:hAnsi="宋体"/>
                <w:sz w:val="24"/>
              </w:rPr>
            </w:pPr>
          </w:p>
        </w:tc>
        <w:tc>
          <w:tcPr>
            <w:tcW w:w="2097" w:type="dxa"/>
            <w:gridSpan w:val="2"/>
            <w:noWrap/>
            <w:vAlign w:val="center"/>
          </w:tcPr>
          <w:p>
            <w:pPr>
              <w:adjustRightInd w:val="0"/>
              <w:snapToGrid w:val="0"/>
              <w:spacing w:line="500" w:lineRule="exact"/>
              <w:jc w:val="center"/>
              <w:rPr>
                <w:rFonts w:ascii="宋体" w:hAnsi="宋体" w:cs="Tahoma"/>
                <w:sz w:val="24"/>
              </w:rPr>
            </w:pPr>
            <w:r>
              <w:rPr>
                <w:rFonts w:hint="eastAsia" w:ascii="宋体" w:hAnsi="宋体" w:cs="Tahoma"/>
                <w:sz w:val="24"/>
              </w:rPr>
              <w:t>投标人基本情况（2分）</w:t>
            </w:r>
          </w:p>
        </w:tc>
        <w:tc>
          <w:tcPr>
            <w:tcW w:w="5787" w:type="dxa"/>
            <w:noWrap/>
          </w:tcPr>
          <w:p>
            <w:pPr>
              <w:adjustRightInd w:val="0"/>
              <w:snapToGrid w:val="0"/>
              <w:spacing w:line="400" w:lineRule="exact"/>
              <w:rPr>
                <w:rFonts w:ascii="宋体" w:hAnsi="宋体"/>
                <w:sz w:val="24"/>
              </w:rPr>
            </w:pPr>
            <w:r>
              <w:rPr>
                <w:rFonts w:hint="eastAsia" w:ascii="宋体" w:hAnsi="宋体"/>
                <w:sz w:val="24"/>
              </w:rPr>
              <w:t>包括投标品牌获得地(市)以上著名品牌等</w:t>
            </w:r>
            <w:r>
              <w:rPr>
                <w:rStyle w:val="18"/>
                <w:rFonts w:hint="eastAsia" w:ascii="宋体" w:hAnsi="宋体"/>
                <w:sz w:val="24"/>
              </w:rPr>
              <w:t>各类荣誉证书</w:t>
            </w:r>
            <w:r>
              <w:rPr>
                <w:rFonts w:hint="eastAsia" w:ascii="宋体" w:hAnsi="宋体"/>
                <w:sz w:val="24"/>
              </w:rPr>
              <w:t>复印件、名牌产品证书、产品质量免检证书、拥有专利技术的证明材料等证明文件</w:t>
            </w:r>
            <w:r>
              <w:rPr>
                <w:rFonts w:hint="eastAsia" w:ascii="宋体" w:hAnsi="宋体" w:cs="Wingdings"/>
                <w:sz w:val="24"/>
              </w:rPr>
              <w:t>等（2分）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noWrap/>
          </w:tcPr>
          <w:p>
            <w:pPr>
              <w:adjustRightInd w:val="0"/>
              <w:snapToGrid w:val="0"/>
              <w:spacing w:line="500" w:lineRule="exact"/>
              <w:jc w:val="center"/>
              <w:rPr>
                <w:rFonts w:ascii="宋体" w:hAnsi="宋体"/>
                <w:sz w:val="24"/>
              </w:rPr>
            </w:pPr>
          </w:p>
        </w:tc>
        <w:tc>
          <w:tcPr>
            <w:tcW w:w="2097" w:type="dxa"/>
            <w:gridSpan w:val="2"/>
            <w:noWrap/>
            <w:vAlign w:val="center"/>
          </w:tcPr>
          <w:p>
            <w:pPr>
              <w:adjustRightInd w:val="0"/>
              <w:snapToGrid w:val="0"/>
              <w:spacing w:line="500" w:lineRule="exact"/>
              <w:jc w:val="center"/>
              <w:rPr>
                <w:rFonts w:ascii="宋体" w:hAnsi="宋体"/>
                <w:sz w:val="24"/>
              </w:rPr>
            </w:pPr>
            <w:r>
              <w:rPr>
                <w:rFonts w:hint="eastAsia" w:ascii="宋体" w:hAnsi="宋体"/>
                <w:sz w:val="24"/>
              </w:rPr>
              <w:t>投标人类似项目建设的成功经验</w:t>
            </w:r>
          </w:p>
          <w:p>
            <w:pPr>
              <w:adjustRightInd w:val="0"/>
              <w:snapToGrid w:val="0"/>
              <w:spacing w:line="500" w:lineRule="exact"/>
              <w:jc w:val="center"/>
              <w:rPr>
                <w:rFonts w:ascii="宋体" w:hAnsi="宋体" w:cs="Tahoma"/>
                <w:sz w:val="24"/>
              </w:rPr>
            </w:pPr>
            <w:r>
              <w:rPr>
                <w:rFonts w:hint="eastAsia" w:ascii="宋体" w:hAnsi="宋体" w:cs="Tahoma"/>
                <w:sz w:val="24"/>
              </w:rPr>
              <w:t>（2分）</w:t>
            </w:r>
          </w:p>
        </w:tc>
        <w:tc>
          <w:tcPr>
            <w:tcW w:w="5787" w:type="dxa"/>
            <w:noWrap/>
          </w:tcPr>
          <w:p>
            <w:pPr>
              <w:adjustRightInd w:val="0"/>
              <w:snapToGrid w:val="0"/>
              <w:spacing w:line="400" w:lineRule="exact"/>
              <w:rPr>
                <w:rFonts w:ascii="宋体" w:hAnsi="宋体"/>
                <w:sz w:val="24"/>
              </w:rPr>
            </w:pPr>
            <w:r>
              <w:rPr>
                <w:rFonts w:hint="eastAsia" w:ascii="宋体" w:hAnsi="宋体" w:cs="仿宋_GB2312"/>
                <w:sz w:val="24"/>
              </w:rPr>
              <w:t>近三年来</w:t>
            </w:r>
            <w:r>
              <w:rPr>
                <w:rFonts w:hint="eastAsia" w:ascii="宋体" w:hAnsi="宋体"/>
                <w:sz w:val="24"/>
              </w:rPr>
              <w:t>谈判响应方</w:t>
            </w:r>
            <w:r>
              <w:rPr>
                <w:rFonts w:hint="eastAsia" w:ascii="宋体" w:hAnsi="宋体" w:cs="仿宋_GB2312"/>
                <w:sz w:val="24"/>
              </w:rPr>
              <w:t>独立承担类似</w:t>
            </w:r>
            <w:r>
              <w:rPr>
                <w:rFonts w:hint="eastAsia" w:ascii="宋体" w:hAnsi="宋体" w:cs="宋体"/>
                <w:sz w:val="24"/>
              </w:rPr>
              <w:t>项目情况，</w:t>
            </w:r>
            <w:r>
              <w:rPr>
                <w:rFonts w:hint="eastAsia" w:ascii="宋体" w:hAnsi="宋体" w:cs="仿宋_GB2312"/>
                <w:sz w:val="24"/>
                <w:lang w:val="zh-CN"/>
              </w:rPr>
              <w:t>结合</w:t>
            </w:r>
            <w:r>
              <w:rPr>
                <w:rFonts w:hint="eastAsia" w:ascii="宋体" w:hAnsi="宋体"/>
                <w:sz w:val="24"/>
              </w:rPr>
              <w:t>已完工的工程案例和用户反应情况，</w:t>
            </w:r>
            <w:r>
              <w:rPr>
                <w:rFonts w:hint="eastAsia" w:ascii="宋体" w:hAnsi="宋体"/>
                <w:snapToGrid w:val="0"/>
                <w:sz w:val="24"/>
              </w:rPr>
              <w:t>参考</w:t>
            </w:r>
            <w:r>
              <w:rPr>
                <w:rFonts w:hint="eastAsia" w:ascii="宋体" w:hAnsi="宋体"/>
                <w:sz w:val="24"/>
                <w:lang w:val="zh-CN"/>
              </w:rPr>
              <w:t>合同</w:t>
            </w:r>
            <w:r>
              <w:rPr>
                <w:rFonts w:hint="eastAsia" w:ascii="宋体" w:hAnsi="宋体"/>
                <w:sz w:val="24"/>
              </w:rPr>
              <w:t>或用户验收报告</w:t>
            </w:r>
            <w:r>
              <w:rPr>
                <w:rFonts w:hint="eastAsia" w:ascii="宋体" w:hAnsi="宋体"/>
                <w:sz w:val="24"/>
                <w:lang w:val="zh-CN"/>
              </w:rPr>
              <w:t>等</w:t>
            </w:r>
            <w:r>
              <w:rPr>
                <w:rFonts w:hint="eastAsia" w:ascii="宋体" w:hAnsi="宋体"/>
                <w:sz w:val="24"/>
              </w:rPr>
              <w:t>工程实例证明（原件备查）</w:t>
            </w:r>
            <w:r>
              <w:rPr>
                <w:rFonts w:hint="eastAsia" w:ascii="宋体" w:hAnsi="宋体" w:cs="宋体"/>
                <w:snapToGrid w:val="0"/>
                <w:sz w:val="24"/>
              </w:rPr>
              <w:t>，</w:t>
            </w:r>
            <w:r>
              <w:rPr>
                <w:rFonts w:hint="eastAsia" w:ascii="宋体" w:hAnsi="宋体" w:cs="仿宋_GB2312"/>
                <w:sz w:val="24"/>
              </w:rPr>
              <w:t>是否有良好的工作业绩和履约记录</w:t>
            </w:r>
            <w:r>
              <w:rPr>
                <w:rFonts w:hint="eastAsia" w:ascii="宋体" w:hAnsi="宋体"/>
                <w:sz w:val="24"/>
                <w:lang w:val="zh-CN"/>
              </w:rPr>
              <w:t>等情况</w:t>
            </w:r>
            <w:r>
              <w:rPr>
                <w:rFonts w:hint="eastAsia" w:ascii="宋体" w:hAnsi="宋体"/>
                <w:sz w:val="24"/>
              </w:rPr>
              <w:t>；如谈判响应方提供的合同复印件等实施项目证明材料与事实不符或与其无关，谈判小组将进行技术扣分直至认定投标无效（2分）</w:t>
            </w:r>
          </w:p>
        </w:tc>
        <w:tc>
          <w:tcPr>
            <w:tcW w:w="696" w:type="dxa"/>
            <w:noWrap/>
            <w:vAlign w:val="center"/>
          </w:tcPr>
          <w:p>
            <w:pPr>
              <w:adjustRightInd w:val="0"/>
              <w:snapToGrid w:val="0"/>
              <w:spacing w:line="500" w:lineRule="exact"/>
              <w:jc w:val="center"/>
              <w:rPr>
                <w:rFonts w:ascii="宋体" w:hAnsi="宋体"/>
                <w:sz w:val="24"/>
              </w:rPr>
            </w:pPr>
            <w:r>
              <w:rPr>
                <w:rFonts w:hint="eastAsia" w:ascii="宋体" w:hAnsi="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jc w:val="center"/>
        </w:trPr>
        <w:tc>
          <w:tcPr>
            <w:tcW w:w="634" w:type="dxa"/>
            <w:noWrap/>
            <w:vAlign w:val="center"/>
          </w:tcPr>
          <w:p>
            <w:pPr>
              <w:adjustRightInd w:val="0"/>
              <w:snapToGrid w:val="0"/>
              <w:spacing w:line="500" w:lineRule="exact"/>
              <w:jc w:val="center"/>
              <w:rPr>
                <w:rFonts w:ascii="宋体" w:hAnsi="宋体"/>
                <w:sz w:val="24"/>
              </w:rPr>
            </w:pPr>
            <w:r>
              <w:rPr>
                <w:rFonts w:hint="eastAsia" w:ascii="宋体" w:hAnsi="宋体"/>
                <w:sz w:val="24"/>
              </w:rPr>
              <w:t>价格</w:t>
            </w:r>
            <w:r>
              <w:rPr>
                <w:rFonts w:ascii="宋体" w:hAnsi="宋体"/>
                <w:sz w:val="24"/>
              </w:rPr>
              <w:t>部分</w:t>
            </w:r>
          </w:p>
        </w:tc>
        <w:tc>
          <w:tcPr>
            <w:tcW w:w="2097" w:type="dxa"/>
            <w:gridSpan w:val="2"/>
            <w:noWrap/>
            <w:vAlign w:val="center"/>
          </w:tcPr>
          <w:p>
            <w:pPr>
              <w:adjustRightInd w:val="0"/>
              <w:snapToGrid w:val="0"/>
              <w:spacing w:line="500" w:lineRule="exact"/>
              <w:jc w:val="center"/>
              <w:rPr>
                <w:rFonts w:ascii="宋体" w:hAnsi="宋体"/>
                <w:sz w:val="24"/>
              </w:rPr>
            </w:pPr>
            <w:r>
              <w:rPr>
                <w:rFonts w:hint="eastAsia" w:ascii="宋体" w:hAnsi="宋体"/>
                <w:sz w:val="24"/>
              </w:rPr>
              <w:t>价格权值=0.45</w:t>
            </w:r>
          </w:p>
        </w:tc>
        <w:tc>
          <w:tcPr>
            <w:tcW w:w="5787" w:type="dxa"/>
            <w:noWrap/>
            <w:vAlign w:val="center"/>
          </w:tcPr>
          <w:p>
            <w:pPr>
              <w:adjustRightInd w:val="0"/>
              <w:snapToGrid w:val="0"/>
              <w:spacing w:line="400" w:lineRule="exact"/>
              <w:rPr>
                <w:rFonts w:ascii="宋体" w:hAnsi="宋体" w:cs="仿宋_GB2312"/>
                <w:sz w:val="24"/>
              </w:rPr>
            </w:pPr>
            <w:r>
              <w:rPr>
                <w:rFonts w:hint="eastAsia" w:ascii="宋体" w:hAnsi="宋体" w:cs="仿宋_GB2312"/>
                <w:sz w:val="24"/>
              </w:rPr>
              <w:t>（1）投标价格分计算方法：满足采购文件要求且投标价格最低有效投标报价为评标基准价，其价格分为45分。其他</w:t>
            </w:r>
            <w:r>
              <w:rPr>
                <w:rFonts w:hint="eastAsia" w:ascii="宋体" w:hAnsi="宋体"/>
                <w:sz w:val="24"/>
              </w:rPr>
              <w:t>谈判响应方</w:t>
            </w:r>
            <w:r>
              <w:rPr>
                <w:rFonts w:hint="eastAsia" w:ascii="宋体" w:hAnsi="宋体" w:cs="仿宋_GB2312"/>
                <w:sz w:val="24"/>
              </w:rPr>
              <w:t>的价格分统一按照下列公式计算：投标报价得分=(评标基准价／投标报价)×价格权值×100（精确到小数点后二位，由采购机构当场统一计算）。</w:t>
            </w:r>
          </w:p>
          <w:p>
            <w:pPr>
              <w:adjustRightInd w:val="0"/>
              <w:snapToGrid w:val="0"/>
              <w:spacing w:line="400" w:lineRule="exact"/>
              <w:rPr>
                <w:rFonts w:ascii="宋体" w:hAnsi="宋体" w:cs="仿宋_GB2312"/>
                <w:sz w:val="24"/>
              </w:rPr>
            </w:pPr>
            <w:r>
              <w:rPr>
                <w:rFonts w:hint="eastAsia" w:ascii="宋体" w:hAnsi="宋体" w:cs="仿宋_GB2312"/>
                <w:sz w:val="24"/>
              </w:rPr>
              <w:t>(2)最终投标报价高于本项目总投资，价格分将作零分处理。</w:t>
            </w:r>
          </w:p>
        </w:tc>
        <w:tc>
          <w:tcPr>
            <w:tcW w:w="696" w:type="dxa"/>
            <w:noWrap/>
            <w:vAlign w:val="center"/>
          </w:tcPr>
          <w:p>
            <w:pPr>
              <w:adjustRightInd w:val="0"/>
              <w:snapToGrid w:val="0"/>
              <w:spacing w:line="500" w:lineRule="exact"/>
              <w:jc w:val="center"/>
              <w:rPr>
                <w:rFonts w:ascii="宋体" w:hAnsi="宋体"/>
                <w:sz w:val="24"/>
              </w:rPr>
            </w:pPr>
            <w:r>
              <w:rPr>
                <w:rFonts w:ascii="宋体" w:hAnsi="宋体"/>
                <w:sz w:val="24"/>
              </w:rPr>
              <w:t>0-</w:t>
            </w:r>
            <w:r>
              <w:rPr>
                <w:rFonts w:hint="eastAsia" w:ascii="宋体" w:hAnsi="宋体"/>
                <w:sz w:val="24"/>
              </w:rPr>
              <w:t>45</w:t>
            </w:r>
          </w:p>
        </w:tc>
      </w:tr>
    </w:tbl>
    <w:p>
      <w:pPr>
        <w:spacing w:line="594" w:lineRule="exact"/>
        <w:ind w:firstLine="640" w:firstLineChars="200"/>
        <w:jc w:val="left"/>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评标专家打分精确至小数点后1位，得分计算精确至小数点后两位（四舍五入）；上述内容中投标文件未涉及的得0分。</w:t>
      </w:r>
    </w:p>
    <w:p>
      <w:pPr>
        <w:spacing w:line="594" w:lineRule="exact"/>
        <w:ind w:firstLine="640" w:firstLineChars="200"/>
        <w:jc w:val="left"/>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报价是中标的一个重要因素，但不是中标的唯一依据。</w:t>
      </w:r>
    </w:p>
    <w:p>
      <w:pPr>
        <w:spacing w:line="594" w:lineRule="exact"/>
        <w:ind w:firstLine="640" w:firstLineChars="200"/>
        <w:jc w:val="left"/>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谈判程序：</w:t>
      </w:r>
    </w:p>
    <w:p>
      <w:pPr>
        <w:spacing w:line="594" w:lineRule="exact"/>
        <w:ind w:firstLine="640" w:firstLineChars="200"/>
        <w:jc w:val="left"/>
        <w:rPr>
          <w:rFonts w:eastAsia="方正仿宋_GBK"/>
          <w:sz w:val="32"/>
          <w:szCs w:val="32"/>
        </w:rPr>
      </w:pPr>
      <w:r>
        <w:rPr>
          <w:rFonts w:eastAsia="方正仿宋_GBK"/>
          <w:sz w:val="32"/>
          <w:szCs w:val="32"/>
        </w:rPr>
        <w:t>（1）谈判小组讨论、通过谈判评审工作流程和谈判要点；</w:t>
      </w:r>
    </w:p>
    <w:p>
      <w:pPr>
        <w:spacing w:line="594" w:lineRule="exact"/>
        <w:ind w:firstLine="640" w:firstLineChars="200"/>
        <w:jc w:val="left"/>
        <w:rPr>
          <w:rFonts w:eastAsia="方正仿宋_GBK"/>
          <w:sz w:val="32"/>
          <w:szCs w:val="32"/>
        </w:rPr>
      </w:pPr>
      <w:r>
        <w:rPr>
          <w:rFonts w:eastAsia="方正仿宋_GBK"/>
          <w:sz w:val="32"/>
          <w:szCs w:val="32"/>
        </w:rPr>
        <w:t>（2）谈判小组审阅采购文件和投标文件；</w:t>
      </w:r>
    </w:p>
    <w:p>
      <w:pPr>
        <w:spacing w:line="594" w:lineRule="exact"/>
        <w:ind w:firstLine="640" w:firstLineChars="200"/>
        <w:jc w:val="left"/>
        <w:rPr>
          <w:rFonts w:eastAsia="方正仿宋_GBK"/>
          <w:sz w:val="32"/>
          <w:szCs w:val="32"/>
        </w:rPr>
      </w:pPr>
      <w:r>
        <w:rPr>
          <w:rFonts w:eastAsia="方正仿宋_GBK"/>
          <w:sz w:val="32"/>
          <w:szCs w:val="32"/>
        </w:rPr>
        <w:t>（3）谈判响应方根据顺序逐家进行方案讲解和系统演示，并回答谈判小组的提问。</w:t>
      </w:r>
    </w:p>
    <w:p>
      <w:pPr>
        <w:spacing w:line="594" w:lineRule="exact"/>
        <w:ind w:firstLine="640" w:firstLineChars="200"/>
        <w:jc w:val="left"/>
        <w:rPr>
          <w:rFonts w:eastAsia="方正仿宋_GBK"/>
          <w:sz w:val="32"/>
          <w:szCs w:val="32"/>
        </w:rPr>
      </w:pPr>
      <w:r>
        <w:rPr>
          <w:rFonts w:eastAsia="方正仿宋_GBK"/>
          <w:sz w:val="32"/>
          <w:szCs w:val="32"/>
        </w:rPr>
        <w:t>（4）谈判小组全体成员围绕谈判要点集中与各个投标人分别进行谈判。逐家谈判一次为一个轮次，谈判轮次由谈判小组视情况决定：</w:t>
      </w:r>
    </w:p>
    <w:p>
      <w:pPr>
        <w:spacing w:line="594" w:lineRule="exact"/>
        <w:ind w:firstLine="640" w:firstLineChars="200"/>
        <w:jc w:val="left"/>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评审</w:t>
      </w:r>
    </w:p>
    <w:p>
      <w:pPr>
        <w:spacing w:line="594" w:lineRule="exact"/>
        <w:ind w:firstLine="640" w:firstLineChars="200"/>
        <w:jc w:val="left"/>
        <w:rPr>
          <w:rFonts w:eastAsia="方正仿宋_GBK"/>
          <w:sz w:val="32"/>
          <w:szCs w:val="32"/>
        </w:rPr>
      </w:pPr>
      <w:r>
        <w:rPr>
          <w:rFonts w:eastAsia="方正仿宋_GBK"/>
          <w:sz w:val="32"/>
          <w:szCs w:val="32"/>
        </w:rPr>
        <w:t>（1）最终报价。谈判结束后，谈判小组将要求所有谈判响应方在规定时间内确定最终报价。</w:t>
      </w:r>
    </w:p>
    <w:p>
      <w:pPr>
        <w:spacing w:line="594"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2</w:t>
      </w:r>
      <w:r>
        <w:rPr>
          <w:rFonts w:eastAsia="方正仿宋_GBK"/>
          <w:sz w:val="32"/>
          <w:szCs w:val="32"/>
        </w:rPr>
        <w:t>）评审</w:t>
      </w:r>
    </w:p>
    <w:p>
      <w:pPr>
        <w:spacing w:line="594" w:lineRule="exact"/>
        <w:ind w:firstLine="640" w:firstLineChars="200"/>
        <w:jc w:val="left"/>
        <w:rPr>
          <w:rFonts w:eastAsia="方正仿宋_GBK"/>
          <w:sz w:val="32"/>
          <w:szCs w:val="32"/>
        </w:rPr>
      </w:pPr>
      <w:r>
        <w:rPr>
          <w:rFonts w:eastAsia="方正仿宋_GBK"/>
          <w:sz w:val="32"/>
          <w:szCs w:val="32"/>
        </w:rPr>
        <w:t>谈判小组将对各谈判响应方的投标方案、报价、企业综合能力、对项目的投入等方面进行谈判和综合评审，对实质上响应采购文件的谈判响应方，根据最终有效报价、技术服务方案、公司综合实力等，由各评委独立记名打分</w:t>
      </w:r>
      <w:r>
        <w:rPr>
          <w:rFonts w:hint="eastAsia" w:eastAsia="方正仿宋_GBK"/>
          <w:sz w:val="32"/>
          <w:szCs w:val="32"/>
        </w:rPr>
        <w:t>。</w:t>
      </w:r>
      <w:r>
        <w:rPr>
          <w:rFonts w:eastAsia="方正仿宋_GBK"/>
          <w:sz w:val="32"/>
          <w:szCs w:val="32"/>
        </w:rPr>
        <w:t>按照谈判小组成员的独立评分结果汇总数的算术平均分计算，计算公式为：技术和服务及其他分=（谈判小组所有成员评分合计数）/谈判小组组成人员数。经统计，按最终评审分由高到低顺序排列。得分相同的，按最终投标报价由低到高顺序排列。得分且最终投标报价相同的，按技术指标优劣顺序排列，并形成评标意见。</w:t>
      </w:r>
    </w:p>
    <w:p>
      <w:pPr>
        <w:spacing w:line="594" w:lineRule="exact"/>
        <w:ind w:firstLine="640" w:firstLineChars="200"/>
        <w:jc w:val="left"/>
        <w:rPr>
          <w:rFonts w:eastAsia="方正仿宋_GBK"/>
          <w:sz w:val="32"/>
          <w:szCs w:val="32"/>
        </w:rPr>
      </w:pPr>
      <w:r>
        <w:rPr>
          <w:rFonts w:hint="eastAsia" w:eastAsia="方正仿宋_GBK"/>
          <w:sz w:val="32"/>
          <w:szCs w:val="32"/>
        </w:rPr>
        <w:t>5.</w:t>
      </w:r>
      <w:r>
        <w:rPr>
          <w:rFonts w:eastAsia="方正仿宋_GBK"/>
          <w:sz w:val="32"/>
          <w:szCs w:val="32"/>
        </w:rPr>
        <w:t>评标内容的保密</w:t>
      </w:r>
    </w:p>
    <w:p>
      <w:pPr>
        <w:spacing w:line="594" w:lineRule="exact"/>
        <w:ind w:firstLine="640" w:firstLineChars="200"/>
        <w:jc w:val="left"/>
        <w:rPr>
          <w:rFonts w:eastAsia="方正仿宋_GBK"/>
          <w:sz w:val="32"/>
          <w:szCs w:val="32"/>
        </w:rPr>
      </w:pPr>
      <w:r>
        <w:rPr>
          <w:rFonts w:eastAsia="方正仿宋_GBK"/>
          <w:sz w:val="32"/>
          <w:szCs w:val="32"/>
        </w:rPr>
        <w:t>（1）开标后，直到宣布中标单位止，凡属于审查、澄清、评价和比较投标的所有资料，都不应向谈判响应方或与评标无关的其他人泄露。</w:t>
      </w:r>
    </w:p>
    <w:p>
      <w:pPr>
        <w:spacing w:line="594"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2</w:t>
      </w:r>
      <w:r>
        <w:rPr>
          <w:rFonts w:eastAsia="方正仿宋_GBK"/>
          <w:sz w:val="32"/>
          <w:szCs w:val="32"/>
        </w:rPr>
        <w:t>）在投标文件的审查、澄清、评价和比较以及确定中标人过程中，谈判响应方对评标机构施加影响的任何行为，都将导致取消资格。</w:t>
      </w:r>
    </w:p>
    <w:p>
      <w:pPr>
        <w:spacing w:line="594" w:lineRule="exact"/>
        <w:ind w:firstLine="640" w:firstLineChars="200"/>
        <w:jc w:val="left"/>
        <w:rPr>
          <w:rFonts w:eastAsia="方正仿宋_GBK"/>
          <w:sz w:val="32"/>
          <w:szCs w:val="32"/>
        </w:rPr>
      </w:pPr>
      <w:r>
        <w:rPr>
          <w:rFonts w:hint="eastAsia" w:eastAsia="方正仿宋_GBK"/>
          <w:sz w:val="32"/>
          <w:szCs w:val="32"/>
        </w:rPr>
        <w:t>6.</w:t>
      </w:r>
      <w:r>
        <w:rPr>
          <w:rFonts w:eastAsia="方正仿宋_GBK"/>
          <w:sz w:val="32"/>
          <w:szCs w:val="32"/>
        </w:rPr>
        <w:t>废标</w:t>
      </w:r>
    </w:p>
    <w:p>
      <w:pPr>
        <w:spacing w:line="594" w:lineRule="exact"/>
        <w:ind w:firstLine="640" w:firstLineChars="200"/>
        <w:jc w:val="left"/>
        <w:rPr>
          <w:rFonts w:eastAsia="方正仿宋_GBK"/>
          <w:sz w:val="32"/>
          <w:szCs w:val="32"/>
        </w:rPr>
      </w:pPr>
      <w:r>
        <w:rPr>
          <w:rFonts w:eastAsia="方正仿宋_GBK"/>
          <w:sz w:val="32"/>
          <w:szCs w:val="32"/>
        </w:rPr>
        <w:t>在采购采购中，出现下列情形之一的，应予废标：</w:t>
      </w:r>
    </w:p>
    <w:p>
      <w:pPr>
        <w:spacing w:line="594" w:lineRule="exact"/>
        <w:ind w:firstLine="480" w:firstLineChars="150"/>
        <w:jc w:val="left"/>
        <w:rPr>
          <w:rFonts w:eastAsia="方正仿宋_GBK"/>
          <w:sz w:val="32"/>
          <w:szCs w:val="32"/>
        </w:rPr>
      </w:pPr>
      <w:r>
        <w:rPr>
          <w:rFonts w:eastAsia="方正仿宋_GBK"/>
          <w:sz w:val="32"/>
          <w:szCs w:val="32"/>
        </w:rPr>
        <w:t>（1）符合专业条件的供应商或者对采购文件作实质响应的供应商不足三家的；</w:t>
      </w:r>
    </w:p>
    <w:p>
      <w:pPr>
        <w:spacing w:line="594" w:lineRule="exact"/>
        <w:ind w:firstLine="480" w:firstLineChars="150"/>
        <w:jc w:val="left"/>
        <w:rPr>
          <w:rFonts w:eastAsia="方正仿宋_GBK"/>
          <w:sz w:val="32"/>
          <w:szCs w:val="32"/>
        </w:rPr>
      </w:pPr>
      <w:r>
        <w:rPr>
          <w:rFonts w:eastAsia="方正仿宋_GBK"/>
          <w:sz w:val="32"/>
          <w:szCs w:val="32"/>
        </w:rPr>
        <w:t>（2）出现影响采购公正的违法、违规行为的；</w:t>
      </w:r>
    </w:p>
    <w:p>
      <w:pPr>
        <w:spacing w:line="594" w:lineRule="exact"/>
        <w:ind w:firstLine="480" w:firstLineChars="150"/>
        <w:jc w:val="left"/>
        <w:rPr>
          <w:rFonts w:eastAsia="方正仿宋_GBK"/>
          <w:sz w:val="32"/>
          <w:szCs w:val="32"/>
        </w:rPr>
      </w:pPr>
      <w:r>
        <w:rPr>
          <w:rFonts w:eastAsia="方正仿宋_GBK"/>
          <w:sz w:val="32"/>
          <w:szCs w:val="32"/>
        </w:rPr>
        <w:t>（3）谈判响应方的报价均超过了采购预算，采购人不能支付的；</w:t>
      </w:r>
    </w:p>
    <w:p>
      <w:pPr>
        <w:spacing w:line="594" w:lineRule="exact"/>
        <w:jc w:val="left"/>
        <w:rPr>
          <w:rFonts w:eastAsia="方正仿宋_GBK"/>
          <w:sz w:val="32"/>
          <w:szCs w:val="32"/>
        </w:rPr>
      </w:pPr>
      <w:r>
        <w:rPr>
          <w:rFonts w:eastAsia="方正仿宋_GBK"/>
          <w:sz w:val="32"/>
          <w:szCs w:val="32"/>
        </w:rPr>
        <w:t xml:space="preserve">   （4）因重大变故，采购任务取消的。</w:t>
      </w:r>
    </w:p>
    <w:p>
      <w:pPr>
        <w:spacing w:line="594" w:lineRule="exact"/>
        <w:ind w:firstLine="640" w:firstLineChars="200"/>
        <w:jc w:val="left"/>
        <w:rPr>
          <w:rFonts w:eastAsia="方正仿宋_GBK"/>
          <w:sz w:val="32"/>
          <w:szCs w:val="32"/>
        </w:rPr>
      </w:pPr>
      <w:r>
        <w:rPr>
          <w:rFonts w:eastAsia="方正仿宋_GBK"/>
          <w:sz w:val="32"/>
          <w:szCs w:val="32"/>
        </w:rPr>
        <w:t>废标后，谈判邀请方将废标理由通知所有谈判响应方。</w:t>
      </w:r>
    </w:p>
    <w:p>
      <w:pPr>
        <w:spacing w:line="594" w:lineRule="exact"/>
        <w:ind w:firstLine="640" w:firstLineChars="200"/>
        <w:jc w:val="left"/>
        <w:rPr>
          <w:rFonts w:eastAsia="方正仿宋_GBK"/>
          <w:sz w:val="32"/>
          <w:szCs w:val="32"/>
        </w:rPr>
      </w:pPr>
      <w:r>
        <w:rPr>
          <w:rFonts w:hint="eastAsia" w:eastAsia="方正仿宋_GBK"/>
          <w:sz w:val="32"/>
          <w:szCs w:val="32"/>
        </w:rPr>
        <w:t>7.</w:t>
      </w:r>
      <w:r>
        <w:rPr>
          <w:rFonts w:eastAsia="方正仿宋_GBK"/>
          <w:sz w:val="32"/>
          <w:szCs w:val="32"/>
        </w:rPr>
        <w:t>中标书</w:t>
      </w:r>
    </w:p>
    <w:p>
      <w:pPr>
        <w:spacing w:line="594" w:lineRule="exact"/>
        <w:ind w:firstLine="640" w:firstLineChars="200"/>
        <w:jc w:val="left"/>
        <w:rPr>
          <w:rFonts w:eastAsia="方正仿宋_GBK"/>
          <w:sz w:val="32"/>
          <w:szCs w:val="32"/>
        </w:rPr>
      </w:pPr>
      <w:r>
        <w:rPr>
          <w:rFonts w:eastAsia="方正仿宋_GBK"/>
          <w:sz w:val="32"/>
          <w:szCs w:val="32"/>
        </w:rPr>
        <w:t>确定中标人后，谈判邀请方将</w:t>
      </w:r>
      <w:r>
        <w:rPr>
          <w:rFonts w:hint="eastAsia" w:eastAsia="方正仿宋_GBK"/>
          <w:sz w:val="32"/>
          <w:szCs w:val="32"/>
        </w:rPr>
        <w:t>在“才聚渝中”微信公众号上</w:t>
      </w:r>
      <w:r>
        <w:rPr>
          <w:rFonts w:eastAsia="方正仿宋_GBK"/>
          <w:sz w:val="32"/>
          <w:szCs w:val="32"/>
        </w:rPr>
        <w:t>公布评标结果。如中标人拒绝承担中标的项目，或提出采购人不能接受的条件，致使合同无法签订，采购机构将取消其中标资格，并考虑与下一次序中标候选人进行谈判或另行组织采购。</w:t>
      </w:r>
    </w:p>
    <w:p>
      <w:pPr>
        <w:spacing w:line="594" w:lineRule="exact"/>
        <w:ind w:firstLine="640" w:firstLineChars="200"/>
        <w:jc w:val="left"/>
        <w:rPr>
          <w:rFonts w:eastAsia="方正仿宋_GBK"/>
          <w:sz w:val="32"/>
          <w:szCs w:val="32"/>
        </w:rPr>
      </w:pPr>
      <w:r>
        <w:rPr>
          <w:rFonts w:hint="eastAsia" w:eastAsia="方正仿宋_GBK"/>
          <w:sz w:val="32"/>
          <w:szCs w:val="32"/>
        </w:rPr>
        <w:t>8.</w:t>
      </w:r>
      <w:r>
        <w:rPr>
          <w:rFonts w:eastAsia="方正仿宋_GBK"/>
          <w:sz w:val="32"/>
          <w:szCs w:val="32"/>
        </w:rPr>
        <w:t>合同签订</w:t>
      </w:r>
    </w:p>
    <w:p>
      <w:pPr>
        <w:spacing w:line="594" w:lineRule="exact"/>
        <w:ind w:firstLine="640" w:firstLineChars="200"/>
        <w:jc w:val="left"/>
        <w:rPr>
          <w:rFonts w:eastAsia="方正仿宋_GBK"/>
          <w:sz w:val="32"/>
          <w:szCs w:val="32"/>
        </w:rPr>
      </w:pPr>
      <w:r>
        <w:rPr>
          <w:rFonts w:eastAsia="方正仿宋_GBK"/>
          <w:sz w:val="32"/>
          <w:szCs w:val="32"/>
        </w:rPr>
        <w:t>中标人须在收到中标通知书之日起十个工作日内，由中标人代表按照采购文件规定的内容，与采购人签订合同。</w:t>
      </w:r>
    </w:p>
    <w:p>
      <w:pPr>
        <w:pStyle w:val="2"/>
        <w:spacing w:before="0" w:after="0" w:line="594" w:lineRule="exact"/>
        <w:ind w:firstLine="640" w:firstLineChars="200"/>
        <w:rPr>
          <w:rFonts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五、技术需求书</w:t>
      </w:r>
    </w:p>
    <w:p>
      <w:pPr>
        <w:spacing w:line="594"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款式要求</w:t>
      </w:r>
    </w:p>
    <w:p>
      <w:pPr>
        <w:spacing w:line="594" w:lineRule="exact"/>
        <w:ind w:firstLine="640" w:firstLineChars="200"/>
        <w:rPr>
          <w:rFonts w:eastAsia="方正仿宋_GBK"/>
          <w:sz w:val="32"/>
          <w:szCs w:val="32"/>
        </w:rPr>
      </w:pPr>
      <w:r>
        <w:rPr>
          <w:rFonts w:eastAsia="方正仿宋_GBK"/>
          <w:sz w:val="32"/>
          <w:szCs w:val="32"/>
        </w:rPr>
        <w:t>款式设计要求体现：端庄大气、职业化兼舒适，各谈判响应方可根据采购需求自由发挥，设计出得体的工作制服。</w:t>
      </w:r>
    </w:p>
    <w:p>
      <w:pPr>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基本配置</w:t>
      </w:r>
    </w:p>
    <w:p>
      <w:pPr>
        <w:spacing w:line="594" w:lineRule="exact"/>
        <w:jc w:val="left"/>
        <w:rPr>
          <w:rFonts w:eastAsia="方正仿宋_GBK"/>
          <w:sz w:val="32"/>
          <w:szCs w:val="32"/>
        </w:rPr>
      </w:pPr>
      <w:r>
        <w:rPr>
          <w:rFonts w:eastAsia="方正仿宋_GBK"/>
          <w:sz w:val="32"/>
          <w:szCs w:val="32"/>
        </w:rPr>
        <w:t xml:space="preserve">   下表所述：</w:t>
      </w:r>
    </w:p>
    <w:tbl>
      <w:tblPr>
        <w:tblStyle w:val="9"/>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50"/>
        <w:gridCol w:w="877"/>
        <w:gridCol w:w="1396"/>
        <w:gridCol w:w="2041"/>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00"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eastAsia="方正仿宋_GBK"/>
                <w:color w:val="000000"/>
                <w:sz w:val="24"/>
              </w:rPr>
            </w:pPr>
            <w:r>
              <w:rPr>
                <w:rFonts w:eastAsia="方正仿宋_GBK"/>
                <w:color w:val="000000"/>
                <w:sz w:val="24"/>
              </w:rPr>
              <w:t>标准</w:t>
            </w:r>
          </w:p>
        </w:tc>
        <w:tc>
          <w:tcPr>
            <w:tcW w:w="1050"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eastAsia="方正仿宋_GBK"/>
                <w:color w:val="000000"/>
                <w:sz w:val="24"/>
              </w:rPr>
            </w:pPr>
            <w:r>
              <w:rPr>
                <w:rFonts w:eastAsia="方正仿宋_GBK"/>
                <w:color w:val="000000"/>
                <w:sz w:val="24"/>
              </w:rPr>
              <w:t>品名</w:t>
            </w:r>
          </w:p>
        </w:tc>
        <w:tc>
          <w:tcPr>
            <w:tcW w:w="877"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eastAsia="方正仿宋_GBK"/>
                <w:color w:val="000000"/>
                <w:sz w:val="24"/>
              </w:rPr>
            </w:pPr>
            <w:r>
              <w:rPr>
                <w:rFonts w:eastAsia="方正仿宋_GBK"/>
                <w:color w:val="000000"/>
                <w:sz w:val="24"/>
              </w:rPr>
              <w:t>颜色</w:t>
            </w:r>
          </w:p>
        </w:tc>
        <w:tc>
          <w:tcPr>
            <w:tcW w:w="1396"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eastAsia="方正仿宋_GBK"/>
                <w:color w:val="000000"/>
                <w:sz w:val="24"/>
              </w:rPr>
            </w:pPr>
            <w:r>
              <w:rPr>
                <w:rFonts w:eastAsia="方正仿宋_GBK"/>
                <w:color w:val="000000"/>
                <w:sz w:val="24"/>
              </w:rPr>
              <w:t>款式</w:t>
            </w:r>
          </w:p>
        </w:tc>
        <w:tc>
          <w:tcPr>
            <w:tcW w:w="2041"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eastAsia="方正仿宋_GBK"/>
                <w:color w:val="000000"/>
                <w:sz w:val="24"/>
              </w:rPr>
            </w:pPr>
            <w:r>
              <w:rPr>
                <w:rFonts w:eastAsia="方正仿宋_GBK"/>
                <w:color w:val="000000"/>
                <w:sz w:val="24"/>
              </w:rPr>
              <w:t>成份最低要求</w:t>
            </w:r>
          </w:p>
        </w:tc>
        <w:tc>
          <w:tcPr>
            <w:tcW w:w="2677"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eastAsia="方正仿宋_GBK"/>
                <w:color w:val="000000"/>
                <w:sz w:val="24"/>
              </w:rPr>
            </w:pPr>
            <w:r>
              <w:rPr>
                <w:rFonts w:eastAsia="方正仿宋_GBK"/>
                <w:color w:val="000000"/>
                <w:sz w:val="24"/>
              </w:rPr>
              <w:t xml:space="preserve">填充物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exact"/>
          <w:jc w:val="center"/>
        </w:trPr>
        <w:tc>
          <w:tcPr>
            <w:tcW w:w="900" w:type="dxa"/>
            <w:vMerge w:val="restart"/>
            <w:tcBorders>
              <w:top w:val="single" w:color="auto" w:sz="4" w:space="0"/>
              <w:left w:val="single" w:color="auto" w:sz="4" w:space="0"/>
              <w:right w:val="single" w:color="auto" w:sz="4" w:space="0"/>
            </w:tcBorders>
            <w:noWrap/>
            <w:vAlign w:val="center"/>
          </w:tcPr>
          <w:p>
            <w:pPr>
              <w:spacing w:line="400" w:lineRule="exact"/>
              <w:jc w:val="center"/>
              <w:rPr>
                <w:rFonts w:eastAsia="方正仿宋_GBK"/>
                <w:color w:val="000000"/>
                <w:sz w:val="24"/>
              </w:rPr>
            </w:pPr>
            <w:r>
              <w:rPr>
                <w:rFonts w:eastAsia="方正仿宋_GBK"/>
                <w:color w:val="000000"/>
                <w:sz w:val="24"/>
              </w:rPr>
              <w:t>1750元 以内</w:t>
            </w: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eastAsia="方正仿宋_GBK"/>
                <w:color w:val="000000"/>
                <w:sz w:val="24"/>
              </w:rPr>
              <w:t>男女羽绒服</w:t>
            </w:r>
          </w:p>
        </w:tc>
        <w:tc>
          <w:tcPr>
            <w:tcW w:w="8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eastAsia="方正仿宋_GBK"/>
                <w:color w:val="000000"/>
                <w:sz w:val="24"/>
              </w:rPr>
              <w:t>藏青色</w:t>
            </w:r>
          </w:p>
        </w:tc>
        <w:tc>
          <w:tcPr>
            <w:tcW w:w="1396"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eastAsia="方正仿宋_GBK"/>
                <w:b/>
                <w:color w:val="000000"/>
                <w:sz w:val="24"/>
              </w:rPr>
            </w:pPr>
            <w:r>
              <w:rPr>
                <w:rFonts w:eastAsia="方正仿宋_GBK"/>
                <w:color w:val="000000"/>
                <w:sz w:val="24"/>
              </w:rPr>
              <w:t>提供样衣</w:t>
            </w:r>
          </w:p>
        </w:tc>
        <w:tc>
          <w:tcPr>
            <w:tcW w:w="204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eastAsia="方正仿宋_GBK"/>
                <w:color w:val="000000"/>
                <w:sz w:val="24"/>
              </w:rPr>
              <w:t>面料：聚酯纤维、锦纶</w:t>
            </w:r>
          </w:p>
        </w:tc>
        <w:tc>
          <w:tcPr>
            <w:tcW w:w="2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eastAsia="方正仿宋_GBK"/>
                <w:color w:val="000000"/>
                <w:sz w:val="24"/>
              </w:rPr>
              <w:t>白鸭绒或白鹅绒，含绒量90%，充绒量45-65克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exact"/>
          <w:jc w:val="center"/>
        </w:trPr>
        <w:tc>
          <w:tcPr>
            <w:tcW w:w="900" w:type="dxa"/>
            <w:vMerge w:val="continue"/>
            <w:tcBorders>
              <w:left w:val="single" w:color="auto" w:sz="4" w:space="0"/>
              <w:right w:val="single" w:color="auto" w:sz="4" w:space="0"/>
            </w:tcBorders>
            <w:noWrap/>
            <w:vAlign w:val="center"/>
          </w:tcPr>
          <w:p>
            <w:pPr>
              <w:spacing w:line="400" w:lineRule="exact"/>
              <w:jc w:val="center"/>
              <w:rPr>
                <w:rFonts w:eastAsia="方正仿宋_GBK"/>
                <w:color w:val="000000"/>
                <w:sz w:val="24"/>
              </w:rPr>
            </w:pP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eastAsia="方正仿宋_GBK"/>
                <w:color w:val="000000"/>
                <w:sz w:val="24"/>
              </w:rPr>
              <w:t>羊毛衫</w:t>
            </w:r>
          </w:p>
        </w:tc>
        <w:tc>
          <w:tcPr>
            <w:tcW w:w="8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eastAsia="方正仿宋_GBK"/>
                <w:color w:val="000000"/>
                <w:sz w:val="24"/>
              </w:rPr>
              <w:t>灰色</w:t>
            </w:r>
          </w:p>
        </w:tc>
        <w:tc>
          <w:tcPr>
            <w:tcW w:w="139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方正仿宋_GBK"/>
                <w:color w:val="000000"/>
                <w:sz w:val="24"/>
              </w:rPr>
            </w:pPr>
            <w:r>
              <w:rPr>
                <w:rFonts w:eastAsia="方正仿宋_GBK"/>
                <w:color w:val="000000"/>
                <w:sz w:val="24"/>
              </w:rPr>
              <w:t>提供样衣</w:t>
            </w:r>
          </w:p>
        </w:tc>
        <w:tc>
          <w:tcPr>
            <w:tcW w:w="204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eastAsia="方正仿宋_GBK"/>
                <w:color w:val="000000"/>
                <w:sz w:val="24"/>
              </w:rPr>
              <w:t>100%羊毛</w:t>
            </w:r>
          </w:p>
        </w:tc>
        <w:tc>
          <w:tcPr>
            <w:tcW w:w="2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eastAsia="方正仿宋_GBK"/>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exact"/>
          <w:jc w:val="center"/>
        </w:trPr>
        <w:tc>
          <w:tcPr>
            <w:tcW w:w="900" w:type="dxa"/>
            <w:vMerge w:val="restart"/>
            <w:tcBorders>
              <w:left w:val="single" w:color="auto" w:sz="4" w:space="0"/>
              <w:right w:val="single" w:color="auto" w:sz="4" w:space="0"/>
            </w:tcBorders>
            <w:noWrap/>
            <w:vAlign w:val="center"/>
          </w:tcPr>
          <w:p>
            <w:pPr>
              <w:spacing w:line="400" w:lineRule="exact"/>
              <w:jc w:val="center"/>
              <w:rPr>
                <w:rFonts w:eastAsia="方正仿宋_GBK"/>
                <w:color w:val="000000"/>
                <w:sz w:val="24"/>
              </w:rPr>
            </w:pPr>
            <w:r>
              <w:rPr>
                <w:rFonts w:eastAsia="方正仿宋_GBK"/>
                <w:color w:val="000000"/>
                <w:sz w:val="24"/>
              </w:rPr>
              <w:t>1</w:t>
            </w:r>
            <w:r>
              <w:rPr>
                <w:rFonts w:hint="eastAsia" w:eastAsia="方正仿宋_GBK"/>
                <w:color w:val="000000"/>
                <w:sz w:val="24"/>
              </w:rPr>
              <w:t>50</w:t>
            </w:r>
            <w:r>
              <w:rPr>
                <w:rFonts w:eastAsia="方正仿宋_GBK"/>
                <w:color w:val="000000"/>
                <w:sz w:val="24"/>
              </w:rPr>
              <w:t>0元 以内</w:t>
            </w: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hint="eastAsia" w:eastAsia="方正仿宋_GBK"/>
                <w:color w:val="000000"/>
                <w:sz w:val="24"/>
              </w:rPr>
              <w:t>西服（上衣+西裤）</w:t>
            </w:r>
          </w:p>
        </w:tc>
        <w:tc>
          <w:tcPr>
            <w:tcW w:w="8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hint="eastAsia" w:eastAsia="方正仿宋_GBK"/>
                <w:color w:val="000000"/>
                <w:sz w:val="24"/>
              </w:rPr>
              <w:t>藏青色</w:t>
            </w:r>
          </w:p>
        </w:tc>
        <w:tc>
          <w:tcPr>
            <w:tcW w:w="139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方正仿宋_GBK"/>
                <w:color w:val="000000"/>
                <w:sz w:val="24"/>
              </w:rPr>
            </w:pPr>
            <w:r>
              <w:rPr>
                <w:rFonts w:eastAsia="方正仿宋_GBK"/>
                <w:color w:val="000000"/>
                <w:sz w:val="24"/>
              </w:rPr>
              <w:t>提供样衣</w:t>
            </w:r>
          </w:p>
        </w:tc>
        <w:tc>
          <w:tcPr>
            <w:tcW w:w="204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hint="eastAsia" w:eastAsia="方正仿宋_GBK"/>
                <w:color w:val="000000"/>
                <w:sz w:val="24"/>
              </w:rPr>
              <w:t>30%聚酯纤维</w:t>
            </w:r>
          </w:p>
        </w:tc>
        <w:tc>
          <w:tcPr>
            <w:tcW w:w="2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hint="eastAsia" w:eastAsia="方正仿宋_GBK"/>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exact"/>
          <w:jc w:val="center"/>
        </w:trPr>
        <w:tc>
          <w:tcPr>
            <w:tcW w:w="900" w:type="dxa"/>
            <w:vMerge w:val="continue"/>
            <w:tcBorders>
              <w:left w:val="single" w:color="auto" w:sz="4" w:space="0"/>
              <w:right w:val="single" w:color="auto" w:sz="4" w:space="0"/>
            </w:tcBorders>
            <w:noWrap/>
            <w:vAlign w:val="center"/>
          </w:tcPr>
          <w:p>
            <w:pPr>
              <w:spacing w:line="400" w:lineRule="exact"/>
              <w:jc w:val="center"/>
              <w:rPr>
                <w:rFonts w:eastAsia="方正仿宋_GBK"/>
                <w:color w:val="000000"/>
                <w:sz w:val="24"/>
              </w:rPr>
            </w:pP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hint="eastAsia" w:eastAsia="方正仿宋_GBK"/>
                <w:color w:val="000000"/>
                <w:sz w:val="24"/>
              </w:rPr>
              <w:t>长袖衬衣</w:t>
            </w:r>
          </w:p>
        </w:tc>
        <w:tc>
          <w:tcPr>
            <w:tcW w:w="8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hint="eastAsia" w:eastAsia="方正仿宋_GBK"/>
                <w:color w:val="000000"/>
                <w:sz w:val="24"/>
              </w:rPr>
              <w:t>白色或淡蓝色</w:t>
            </w:r>
          </w:p>
        </w:tc>
        <w:tc>
          <w:tcPr>
            <w:tcW w:w="139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方正仿宋_GBK"/>
                <w:color w:val="000000"/>
                <w:sz w:val="24"/>
              </w:rPr>
            </w:pPr>
            <w:r>
              <w:rPr>
                <w:rFonts w:eastAsia="方正仿宋_GBK"/>
                <w:color w:val="000000"/>
                <w:sz w:val="24"/>
              </w:rPr>
              <w:t>提供样衣</w:t>
            </w:r>
          </w:p>
        </w:tc>
        <w:tc>
          <w:tcPr>
            <w:tcW w:w="204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hint="eastAsia" w:eastAsia="方正仿宋_GBK"/>
                <w:color w:val="000000"/>
                <w:sz w:val="24"/>
              </w:rPr>
              <w:t>纱支</w:t>
            </w:r>
          </w:p>
        </w:tc>
        <w:tc>
          <w:tcPr>
            <w:tcW w:w="2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hint="eastAsia" w:eastAsia="方正仿宋_GBK"/>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exact"/>
          <w:jc w:val="center"/>
        </w:trPr>
        <w:tc>
          <w:tcPr>
            <w:tcW w:w="900" w:type="dxa"/>
            <w:vMerge w:val="continue"/>
            <w:tcBorders>
              <w:left w:val="single" w:color="auto" w:sz="4" w:space="0"/>
              <w:right w:val="single" w:color="auto" w:sz="4" w:space="0"/>
            </w:tcBorders>
            <w:noWrap/>
            <w:vAlign w:val="center"/>
          </w:tcPr>
          <w:p>
            <w:pPr>
              <w:spacing w:line="400" w:lineRule="exact"/>
              <w:jc w:val="center"/>
              <w:rPr>
                <w:rFonts w:eastAsia="方正仿宋_GBK"/>
                <w:color w:val="000000"/>
                <w:sz w:val="24"/>
              </w:rPr>
            </w:pP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hint="eastAsia" w:eastAsia="方正仿宋_GBK"/>
                <w:color w:val="000000"/>
                <w:sz w:val="24"/>
              </w:rPr>
              <w:t>短袖衬衣</w:t>
            </w:r>
          </w:p>
        </w:tc>
        <w:tc>
          <w:tcPr>
            <w:tcW w:w="8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hint="eastAsia" w:eastAsia="方正仿宋_GBK"/>
                <w:color w:val="000000"/>
                <w:sz w:val="24"/>
              </w:rPr>
              <w:t>白色或淡蓝色</w:t>
            </w:r>
          </w:p>
        </w:tc>
        <w:tc>
          <w:tcPr>
            <w:tcW w:w="139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eastAsia="方正仿宋_GBK"/>
                <w:color w:val="000000"/>
                <w:sz w:val="24"/>
              </w:rPr>
            </w:pPr>
            <w:r>
              <w:rPr>
                <w:rFonts w:eastAsia="方正仿宋_GBK"/>
                <w:color w:val="000000"/>
                <w:sz w:val="24"/>
              </w:rPr>
              <w:t>提供样衣</w:t>
            </w:r>
          </w:p>
        </w:tc>
        <w:tc>
          <w:tcPr>
            <w:tcW w:w="204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hint="eastAsia" w:eastAsia="方正仿宋_GBK"/>
                <w:color w:val="000000"/>
                <w:sz w:val="24"/>
              </w:rPr>
              <w:t>纱支</w:t>
            </w:r>
          </w:p>
        </w:tc>
        <w:tc>
          <w:tcPr>
            <w:tcW w:w="26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eastAsia="方正仿宋_GBK"/>
                <w:color w:val="000000"/>
                <w:sz w:val="24"/>
              </w:rPr>
            </w:pPr>
            <w:r>
              <w:rPr>
                <w:rFonts w:hint="eastAsia" w:eastAsia="方正仿宋_GBK"/>
                <w:color w:val="000000"/>
                <w:sz w:val="24"/>
              </w:rPr>
              <w:t>无</w:t>
            </w:r>
          </w:p>
        </w:tc>
      </w:tr>
    </w:tbl>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六、质量与服务要求</w:t>
      </w:r>
    </w:p>
    <w:p>
      <w:pPr>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工作制服实行套试，根据采购人需要进行上门量身定制，供应商在完成全部服装制作后派员送至采购单位指定地点，确保在2021年12月15日之前完成并通过验收，验收不合格采购单位有权无条件调换或退货。工作制服应按每人每套独立包装，并在包装上注明所属人员姓名及部门，对号发放。</w:t>
      </w:r>
    </w:p>
    <w:p>
      <w:pPr>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两年内新进工作人员的服装，在采购人发出通知后一周内上门定身量制，并按相同面辅料和工艺制作，在定身量制的60日内送货上门，价格与投标时一致；两年内，如有工作人员的部分服装、领带或丝巾等单件需要添置，价格应不高于投标时明细所列的单价标准。</w:t>
      </w:r>
    </w:p>
    <w:p>
      <w:pPr>
        <w:spacing w:line="594"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中标人提供的样衣和面料、辅料等的样品由采购单位封存至合同有效期终止。</w:t>
      </w:r>
    </w:p>
    <w:p>
      <w:pPr>
        <w:spacing w:line="594"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采购人保留有在价格不变的情况</w:t>
      </w:r>
      <w:r>
        <w:rPr>
          <w:rFonts w:hint="eastAsia" w:eastAsia="方正仿宋_GBK"/>
          <w:sz w:val="32"/>
          <w:szCs w:val="32"/>
        </w:rPr>
        <w:t>下</w:t>
      </w:r>
      <w:r>
        <w:rPr>
          <w:rFonts w:eastAsia="方正仿宋_GBK"/>
          <w:sz w:val="32"/>
          <w:szCs w:val="32"/>
        </w:rPr>
        <w:t>适当修改款式的权利</w:t>
      </w:r>
      <w:r>
        <w:rPr>
          <w:rFonts w:hint="eastAsia" w:eastAsia="方正仿宋_GBK"/>
          <w:sz w:val="32"/>
          <w:szCs w:val="32"/>
        </w:rPr>
        <w:t>。</w:t>
      </w:r>
      <w:r>
        <w:rPr>
          <w:rFonts w:eastAsia="方正仿宋_GBK"/>
          <w:sz w:val="32"/>
          <w:szCs w:val="32"/>
        </w:rPr>
        <w:t>乙方不得将合同转包给其他单位代加工或贴牌。一经发现查实，取消本次中标资格，并予以相应处罚。</w:t>
      </w:r>
    </w:p>
    <w:p>
      <w:pPr>
        <w:autoSpaceDE w:val="0"/>
        <w:autoSpaceDN w:val="0"/>
        <w:adjustRightInd w:val="0"/>
        <w:snapToGrid w:val="0"/>
        <w:spacing w:line="594" w:lineRule="exact"/>
        <w:ind w:firstLine="640" w:firstLineChars="200"/>
        <w:jc w:val="left"/>
        <w:rPr>
          <w:rFonts w:eastAsia="方正仿宋_GBK"/>
          <w:sz w:val="32"/>
          <w:szCs w:val="32"/>
        </w:rPr>
      </w:pPr>
      <w:r>
        <w:rPr>
          <w:rFonts w:hint="eastAsia" w:eastAsia="方正仿宋_GBK"/>
          <w:sz w:val="32"/>
          <w:szCs w:val="32"/>
        </w:rPr>
        <w:t>5.</w:t>
      </w:r>
      <w:r>
        <w:rPr>
          <w:rFonts w:eastAsia="方正仿宋_GBK"/>
          <w:sz w:val="32"/>
          <w:szCs w:val="32"/>
        </w:rPr>
        <w:t>货款的支付划分三个阶段：</w:t>
      </w:r>
    </w:p>
    <w:p>
      <w:pPr>
        <w:autoSpaceDE w:val="0"/>
        <w:autoSpaceDN w:val="0"/>
        <w:adjustRightInd w:val="0"/>
        <w:snapToGrid w:val="0"/>
        <w:spacing w:line="594" w:lineRule="exact"/>
        <w:ind w:firstLine="640" w:firstLineChars="200"/>
        <w:jc w:val="left"/>
        <w:rPr>
          <w:rFonts w:eastAsia="方正仿宋_GBK"/>
          <w:sz w:val="32"/>
          <w:szCs w:val="32"/>
        </w:rPr>
      </w:pPr>
      <w:r>
        <w:rPr>
          <w:rFonts w:eastAsia="方正仿宋_GBK"/>
          <w:sz w:val="32"/>
          <w:szCs w:val="32"/>
        </w:rPr>
        <w:t>（1）第一阶段：项目签约完成，甲方收到乙方开具的发票之日起十个工作日内，支付总费用的20%作为预付款；</w:t>
      </w:r>
    </w:p>
    <w:p>
      <w:pPr>
        <w:autoSpaceDE w:val="0"/>
        <w:autoSpaceDN w:val="0"/>
        <w:adjustRightInd w:val="0"/>
        <w:snapToGrid w:val="0"/>
        <w:spacing w:line="594" w:lineRule="exact"/>
        <w:ind w:firstLine="640" w:firstLineChars="200"/>
        <w:jc w:val="left"/>
        <w:rPr>
          <w:rFonts w:eastAsia="方正仿宋_GBK"/>
          <w:sz w:val="32"/>
          <w:szCs w:val="32"/>
        </w:rPr>
      </w:pPr>
      <w:r>
        <w:rPr>
          <w:rFonts w:eastAsia="方正仿宋_GBK"/>
          <w:sz w:val="32"/>
          <w:szCs w:val="32"/>
        </w:rPr>
        <w:t>（2）第二阶段：所供货物到货经甲方查验开箱清点无误并验收完毕后，且甲方收到乙方开具的发票之日起十个工作日内，支付总费用的</w:t>
      </w:r>
      <w:r>
        <w:rPr>
          <w:rFonts w:hint="eastAsia" w:eastAsia="方正仿宋_GBK"/>
          <w:sz w:val="32"/>
          <w:szCs w:val="32"/>
        </w:rPr>
        <w:t>8</w:t>
      </w:r>
      <w:r>
        <w:rPr>
          <w:rFonts w:eastAsia="方正仿宋_GBK"/>
          <w:sz w:val="32"/>
          <w:szCs w:val="32"/>
        </w:rPr>
        <w:t>0%</w:t>
      </w:r>
      <w:r>
        <w:rPr>
          <w:rFonts w:hint="eastAsia" w:eastAsia="方正仿宋_GBK"/>
          <w:sz w:val="32"/>
          <w:szCs w:val="32"/>
        </w:rPr>
        <w:t>。</w:t>
      </w:r>
    </w:p>
    <w:p>
      <w:pPr>
        <w:autoSpaceDE w:val="0"/>
        <w:autoSpaceDN w:val="0"/>
        <w:adjustRightInd w:val="0"/>
        <w:snapToGrid w:val="0"/>
        <w:spacing w:line="594" w:lineRule="exact"/>
        <w:ind w:firstLine="640" w:firstLineChars="200"/>
        <w:jc w:val="left"/>
        <w:rPr>
          <w:rFonts w:eastAsia="方正仿宋_GBK"/>
          <w:sz w:val="32"/>
          <w:szCs w:val="32"/>
        </w:rPr>
      </w:pPr>
      <w:r>
        <w:rPr>
          <w:rFonts w:hint="eastAsia" w:eastAsia="方正仿宋_GBK"/>
          <w:sz w:val="32"/>
          <w:szCs w:val="32"/>
        </w:rPr>
        <w:t>6.</w:t>
      </w:r>
      <w:r>
        <w:rPr>
          <w:rFonts w:eastAsia="方正仿宋_GBK"/>
          <w:sz w:val="32"/>
          <w:szCs w:val="32"/>
        </w:rPr>
        <w:t>违约责任</w:t>
      </w:r>
    </w:p>
    <w:p>
      <w:pPr>
        <w:autoSpaceDE w:val="0"/>
        <w:autoSpaceDN w:val="0"/>
        <w:adjustRightInd w:val="0"/>
        <w:snapToGrid w:val="0"/>
        <w:spacing w:line="594" w:lineRule="exact"/>
        <w:ind w:firstLine="640" w:firstLineChars="200"/>
        <w:jc w:val="left"/>
        <w:rPr>
          <w:rFonts w:eastAsia="方正仿宋_GBK"/>
          <w:sz w:val="32"/>
          <w:szCs w:val="32"/>
        </w:rPr>
      </w:pPr>
      <w:r>
        <w:rPr>
          <w:rFonts w:eastAsia="方正仿宋_GBK"/>
          <w:sz w:val="32"/>
          <w:szCs w:val="32"/>
        </w:rPr>
        <w:t>乙方的违约责任：</w:t>
      </w:r>
    </w:p>
    <w:p>
      <w:pPr>
        <w:autoSpaceDE w:val="0"/>
        <w:autoSpaceDN w:val="0"/>
        <w:adjustRightInd w:val="0"/>
        <w:snapToGrid w:val="0"/>
        <w:spacing w:line="594" w:lineRule="exact"/>
        <w:ind w:firstLine="640" w:firstLineChars="200"/>
        <w:jc w:val="left"/>
        <w:rPr>
          <w:rFonts w:eastAsia="方正仿宋_GBK"/>
          <w:sz w:val="32"/>
          <w:szCs w:val="32"/>
        </w:rPr>
      </w:pPr>
      <w:r>
        <w:rPr>
          <w:rFonts w:eastAsia="方正仿宋_GBK"/>
          <w:sz w:val="32"/>
          <w:szCs w:val="32"/>
        </w:rPr>
        <w:t>（1）乙方逾期交付服装的应向甲方每日偿付合同总价万分之五的违约金。乙方逾期30天不能交付的，或者乙方将合同转包给其他单位代加工或贴牌的，应向甲方支付合同总价百分之五的违约金。同时并不免除继续履行合同的义务。</w:t>
      </w:r>
    </w:p>
    <w:p>
      <w:pPr>
        <w:autoSpaceDE w:val="0"/>
        <w:autoSpaceDN w:val="0"/>
        <w:adjustRightInd w:val="0"/>
        <w:snapToGrid w:val="0"/>
        <w:spacing w:line="594" w:lineRule="exact"/>
        <w:ind w:firstLine="640" w:firstLineChars="200"/>
        <w:jc w:val="left"/>
        <w:rPr>
          <w:rFonts w:eastAsia="方正仿宋_GBK"/>
          <w:sz w:val="32"/>
          <w:szCs w:val="32"/>
        </w:rPr>
      </w:pPr>
      <w:r>
        <w:rPr>
          <w:rFonts w:eastAsia="方正仿宋_GBK"/>
          <w:sz w:val="32"/>
          <w:szCs w:val="32"/>
        </w:rPr>
        <w:t>（2）乙方所供服装与合同要求不符，甲方有权拒绝，并按《中华人民共和国合同法》中的有关条款索赔。</w:t>
      </w:r>
    </w:p>
    <w:p>
      <w:pPr>
        <w:autoSpaceDE w:val="0"/>
        <w:autoSpaceDN w:val="0"/>
        <w:adjustRightInd w:val="0"/>
        <w:snapToGrid w:val="0"/>
        <w:spacing w:line="594" w:lineRule="exact"/>
        <w:ind w:firstLine="640" w:firstLineChars="200"/>
        <w:jc w:val="left"/>
        <w:rPr>
          <w:rFonts w:eastAsia="方正仿宋_GBK"/>
          <w:sz w:val="32"/>
          <w:szCs w:val="32"/>
        </w:rPr>
      </w:pPr>
      <w:r>
        <w:rPr>
          <w:rFonts w:eastAsia="方正仿宋_GBK"/>
          <w:sz w:val="32"/>
          <w:szCs w:val="32"/>
        </w:rPr>
        <w:t>甲方的违约责任：</w:t>
      </w:r>
    </w:p>
    <w:p>
      <w:pPr>
        <w:autoSpaceDE w:val="0"/>
        <w:autoSpaceDN w:val="0"/>
        <w:adjustRightInd w:val="0"/>
        <w:snapToGrid w:val="0"/>
        <w:spacing w:line="594" w:lineRule="exact"/>
        <w:ind w:firstLine="640" w:firstLineChars="200"/>
        <w:jc w:val="left"/>
        <w:rPr>
          <w:rFonts w:eastAsia="方正仿宋_GBK"/>
          <w:sz w:val="32"/>
          <w:szCs w:val="32"/>
        </w:rPr>
      </w:pPr>
      <w:r>
        <w:rPr>
          <w:rFonts w:eastAsia="方正仿宋_GBK"/>
          <w:sz w:val="32"/>
          <w:szCs w:val="32"/>
        </w:rPr>
        <w:t>甲方逾期支付货款的，应向乙方每日偿付合同总价万分之五的违约金。甲方无正当理由拒收货物、拒付货款的，应向乙方偿付合同总价百分之五的违约金。</w:t>
      </w:r>
    </w:p>
    <w:p>
      <w:pPr>
        <w:autoSpaceDE w:val="0"/>
        <w:autoSpaceDN w:val="0"/>
        <w:adjustRightInd w:val="0"/>
        <w:snapToGrid w:val="0"/>
        <w:spacing w:line="594" w:lineRule="exact"/>
        <w:ind w:firstLine="640" w:firstLineChars="200"/>
        <w:jc w:val="left"/>
        <w:rPr>
          <w:rFonts w:eastAsia="方正仿宋_GBK"/>
          <w:sz w:val="32"/>
          <w:szCs w:val="32"/>
        </w:rPr>
      </w:pPr>
      <w:r>
        <w:rPr>
          <w:rFonts w:eastAsia="方正仿宋_GBK"/>
          <w:sz w:val="32"/>
          <w:szCs w:val="32"/>
        </w:rPr>
        <w:t>不可抗力：不可抗力是指《中华人民共和国合同法》所列举的不可抗力。不可抗力一旦发生，证明文件由法律规定部门签署，并由甲方、乙方及采购机构三方协商合同逾期履行和继续履行的方法，在此情况下，任何一方不能要求损失赔偿。</w:t>
      </w:r>
    </w:p>
    <w:p>
      <w:pPr>
        <w:autoSpaceDE w:val="0"/>
        <w:autoSpaceDN w:val="0"/>
        <w:adjustRightInd w:val="0"/>
        <w:snapToGrid w:val="0"/>
        <w:spacing w:line="594" w:lineRule="exact"/>
        <w:ind w:firstLine="640" w:firstLineChars="200"/>
        <w:jc w:val="left"/>
        <w:rPr>
          <w:rFonts w:eastAsia="方正仿宋_GBK"/>
          <w:sz w:val="32"/>
          <w:szCs w:val="32"/>
        </w:rPr>
      </w:pPr>
      <w:r>
        <w:rPr>
          <w:rFonts w:hint="eastAsia" w:eastAsia="方正仿宋_GBK"/>
          <w:sz w:val="32"/>
          <w:szCs w:val="32"/>
        </w:rPr>
        <w:t>8.</w:t>
      </w:r>
      <w:r>
        <w:rPr>
          <w:rFonts w:eastAsia="方正仿宋_GBK"/>
          <w:sz w:val="32"/>
          <w:szCs w:val="32"/>
        </w:rPr>
        <w:t>产品质量</w:t>
      </w:r>
    </w:p>
    <w:p>
      <w:pPr>
        <w:autoSpaceDE w:val="0"/>
        <w:autoSpaceDN w:val="0"/>
        <w:adjustRightInd w:val="0"/>
        <w:snapToGrid w:val="0"/>
        <w:spacing w:line="594" w:lineRule="exact"/>
        <w:jc w:val="left"/>
        <w:rPr>
          <w:rFonts w:eastAsia="方正仿宋_GBK"/>
          <w:sz w:val="32"/>
          <w:szCs w:val="32"/>
        </w:rPr>
      </w:pPr>
      <w:r>
        <w:rPr>
          <w:rFonts w:eastAsia="方正仿宋_GBK"/>
          <w:sz w:val="32"/>
          <w:szCs w:val="32"/>
        </w:rPr>
        <w:t xml:space="preserve">    （1）乙方保证按ISO9000系列标准或相应的质量管理和质量保证体系，对工作制服设计、制作、检测等各个环节进行严格的质量控制。</w:t>
      </w:r>
    </w:p>
    <w:p>
      <w:pPr>
        <w:autoSpaceDE w:val="0"/>
        <w:autoSpaceDN w:val="0"/>
        <w:adjustRightInd w:val="0"/>
        <w:snapToGrid w:val="0"/>
        <w:spacing w:line="594" w:lineRule="exact"/>
        <w:ind w:firstLine="640" w:firstLineChars="200"/>
        <w:jc w:val="left"/>
        <w:rPr>
          <w:rFonts w:eastAsia="方正仿宋_GBK"/>
          <w:sz w:val="32"/>
          <w:szCs w:val="32"/>
        </w:rPr>
      </w:pPr>
      <w:r>
        <w:rPr>
          <w:rFonts w:eastAsia="方正仿宋_GBK"/>
          <w:sz w:val="32"/>
          <w:szCs w:val="32"/>
        </w:rPr>
        <w:t>（2）乙方须严格按投标文件和国家现行验收规范有关规定，精心组织实施、记录、检测。</w:t>
      </w:r>
    </w:p>
    <w:p>
      <w:pPr>
        <w:autoSpaceDE w:val="0"/>
        <w:autoSpaceDN w:val="0"/>
        <w:adjustRightInd w:val="0"/>
        <w:snapToGrid w:val="0"/>
        <w:spacing w:line="594" w:lineRule="exact"/>
        <w:ind w:firstLine="640" w:firstLineChars="200"/>
        <w:jc w:val="left"/>
        <w:rPr>
          <w:rFonts w:eastAsia="方正仿宋_GBK"/>
          <w:sz w:val="32"/>
          <w:szCs w:val="32"/>
        </w:rPr>
      </w:pPr>
      <w:r>
        <w:rPr>
          <w:rFonts w:eastAsia="方正仿宋_GBK"/>
          <w:sz w:val="32"/>
          <w:szCs w:val="32"/>
        </w:rPr>
        <w:t>（3）产品的质量、技术标准如在采购文件和投标文件中无相应说明，则按中华人民共和国有关部门颁布的最新的国家或专业（部）标准或相应的国际标准执行。没有国家或专业（部）标准的，按企业标准执行。</w:t>
      </w:r>
    </w:p>
    <w:p>
      <w:pPr>
        <w:autoSpaceDE w:val="0"/>
        <w:autoSpaceDN w:val="0"/>
        <w:adjustRightInd w:val="0"/>
        <w:snapToGrid w:val="0"/>
        <w:spacing w:line="594" w:lineRule="exact"/>
        <w:ind w:firstLine="640" w:firstLineChars="200"/>
        <w:jc w:val="left"/>
        <w:rPr>
          <w:rFonts w:eastAsia="方正仿宋_GBK"/>
          <w:sz w:val="32"/>
          <w:szCs w:val="32"/>
        </w:rPr>
      </w:pPr>
      <w:r>
        <w:rPr>
          <w:rFonts w:eastAsia="方正仿宋_GBK"/>
          <w:sz w:val="32"/>
          <w:szCs w:val="32"/>
        </w:rPr>
        <w:t>（4）产品验收：应按设计方案、技术交底、会审纪要、设计变更通知单、国家和（部）颁发的有关规范和质量检验评定标准、相关的国际标准为依据，并有相关专业测试单位出具相应的测验结论报告。</w:t>
      </w:r>
    </w:p>
    <w:p>
      <w:pPr>
        <w:autoSpaceDE w:val="0"/>
        <w:autoSpaceDN w:val="0"/>
        <w:adjustRightInd w:val="0"/>
        <w:snapToGrid w:val="0"/>
        <w:spacing w:line="594" w:lineRule="exact"/>
        <w:ind w:firstLine="640" w:firstLineChars="200"/>
        <w:jc w:val="left"/>
        <w:rPr>
          <w:rFonts w:eastAsia="方正仿宋_GBK"/>
          <w:sz w:val="32"/>
          <w:szCs w:val="32"/>
        </w:rPr>
      </w:pPr>
      <w:r>
        <w:rPr>
          <w:rFonts w:eastAsia="方正仿宋_GBK"/>
          <w:sz w:val="32"/>
          <w:szCs w:val="32"/>
        </w:rPr>
        <w:t>（5）项目实施过程中应严格做好安全防范措施，如乙方项目实施人员在实施中违反操作规定造成人员伤亡事故或实施现场防范措施设置不明造成人员伤害事故，一切责任均</w:t>
      </w:r>
      <w:r>
        <w:rPr>
          <w:rFonts w:hint="eastAsia" w:eastAsia="方正仿宋_GBK"/>
          <w:sz w:val="32"/>
          <w:szCs w:val="32"/>
        </w:rPr>
        <w:t>由</w:t>
      </w:r>
      <w:r>
        <w:rPr>
          <w:rFonts w:eastAsia="方正仿宋_GBK"/>
          <w:sz w:val="32"/>
          <w:szCs w:val="32"/>
        </w:rPr>
        <w:t>乙方负责。</w:t>
      </w:r>
    </w:p>
    <w:p>
      <w:pPr>
        <w:autoSpaceDE w:val="0"/>
        <w:autoSpaceDN w:val="0"/>
        <w:adjustRightInd w:val="0"/>
        <w:snapToGrid w:val="0"/>
        <w:spacing w:line="594" w:lineRule="exact"/>
        <w:ind w:firstLine="640" w:firstLineChars="200"/>
        <w:jc w:val="left"/>
        <w:rPr>
          <w:rFonts w:eastAsia="方正仿宋_GBK"/>
          <w:sz w:val="32"/>
          <w:szCs w:val="32"/>
        </w:rPr>
      </w:pPr>
      <w:r>
        <w:rPr>
          <w:rFonts w:hint="eastAsia" w:eastAsia="方正仿宋_GBK"/>
          <w:sz w:val="32"/>
          <w:szCs w:val="32"/>
        </w:rPr>
        <w:t>9.</w:t>
      </w:r>
      <w:r>
        <w:rPr>
          <w:rFonts w:eastAsia="方正仿宋_GBK"/>
          <w:sz w:val="32"/>
          <w:szCs w:val="32"/>
        </w:rPr>
        <w:t>争议处理</w:t>
      </w:r>
    </w:p>
    <w:p>
      <w:pPr>
        <w:autoSpaceDE w:val="0"/>
        <w:autoSpaceDN w:val="0"/>
        <w:adjustRightInd w:val="0"/>
        <w:snapToGrid w:val="0"/>
        <w:spacing w:line="594" w:lineRule="exact"/>
        <w:ind w:firstLine="640" w:firstLineChars="200"/>
        <w:jc w:val="left"/>
        <w:rPr>
          <w:rFonts w:eastAsia="方正仿宋_GBK"/>
          <w:sz w:val="32"/>
          <w:szCs w:val="32"/>
        </w:rPr>
      </w:pPr>
      <w:r>
        <w:rPr>
          <w:rFonts w:eastAsia="方正仿宋_GBK"/>
          <w:sz w:val="32"/>
          <w:szCs w:val="32"/>
        </w:rPr>
        <w:t>（1）合同在履行过程中发生争议时，甲方与乙方及时协商解决。协商不成时，甲乙双方均可向甲方住所地人民法院提起诉讼。</w:t>
      </w:r>
    </w:p>
    <w:p>
      <w:pPr>
        <w:spacing w:line="594" w:lineRule="exact"/>
        <w:rPr>
          <w:rFonts w:eastAsia="方正仿宋_GBK"/>
          <w:sz w:val="32"/>
          <w:szCs w:val="32"/>
        </w:rPr>
      </w:pPr>
      <w:r>
        <w:rPr>
          <w:rFonts w:eastAsia="方正仿宋_GBK"/>
          <w:sz w:val="32"/>
          <w:szCs w:val="32"/>
        </w:rPr>
        <w:t>（2）对于因违反或终止合同而引起的损失、损害的赔偿，由甲方与乙方友好协商解决，经协商仍未能达成一致的，甲乙双方均可向甲方住所地人民法院提起诉讼。</w:t>
      </w:r>
    </w:p>
    <w:sectPr>
      <w:footerReference r:id="rId3" w:type="default"/>
      <w:footerReference r:id="rId4" w:type="even"/>
      <w:pgSz w:w="11906" w:h="16838"/>
      <w:pgMar w:top="720" w:right="720" w:bottom="720" w:left="720" w:header="851"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sz w:val="24"/>
      </w:rP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796274"/>
                  <w:docPartObj>
                    <w:docPartGallery w:val="autotext"/>
                  </w:docPartObj>
                </w:sdtPr>
                <w:sdtEndPr>
                  <w:rPr>
                    <w:sz w:val="24"/>
                  </w:rPr>
                </w:sdtEndPr>
                <w:sdtContent>
                  <w:p>
                    <w:pPr>
                      <w:pStyle w:val="6"/>
                      <w:jc w:val="center"/>
                      <w:rPr>
                        <w:sz w:val="24"/>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 1 -</w:t>
                    </w:r>
                    <w:r>
                      <w:rPr>
                        <w:rFonts w:hint="eastAsia" w:asciiTheme="majorEastAsia" w:hAnsiTheme="majorEastAsia" w:eastAsiaTheme="majorEastAsia" w:cstheme="majorEastAsia"/>
                        <w:sz w:val="28"/>
                        <w:szCs w:val="28"/>
                      </w:rPr>
                      <w:fldChar w:fldCharType="end"/>
                    </w:r>
                  </w:p>
                </w:sdtContent>
              </w:sdt>
              <w:p>
                <w:pPr>
                  <w:rPr>
                    <w:sz w:val="24"/>
                  </w:rPr>
                </w:pPr>
              </w:p>
            </w:txbxContent>
          </v:textbox>
        </v:shape>
      </w:pic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7"/>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C34DD"/>
    <w:rsid w:val="00017651"/>
    <w:rsid w:val="0002690D"/>
    <w:rsid w:val="00026ACD"/>
    <w:rsid w:val="000306D9"/>
    <w:rsid w:val="00034055"/>
    <w:rsid w:val="00043E5B"/>
    <w:rsid w:val="00062538"/>
    <w:rsid w:val="00063F5B"/>
    <w:rsid w:val="0008325F"/>
    <w:rsid w:val="00083422"/>
    <w:rsid w:val="000928F2"/>
    <w:rsid w:val="00092C6F"/>
    <w:rsid w:val="00094510"/>
    <w:rsid w:val="00097D33"/>
    <w:rsid w:val="000D1B94"/>
    <w:rsid w:val="000E48CF"/>
    <w:rsid w:val="000F0CA7"/>
    <w:rsid w:val="000F55EC"/>
    <w:rsid w:val="001008F6"/>
    <w:rsid w:val="00106818"/>
    <w:rsid w:val="0012005D"/>
    <w:rsid w:val="00123F09"/>
    <w:rsid w:val="00133197"/>
    <w:rsid w:val="00145B22"/>
    <w:rsid w:val="00151628"/>
    <w:rsid w:val="0016396E"/>
    <w:rsid w:val="0016581C"/>
    <w:rsid w:val="001702D3"/>
    <w:rsid w:val="0019259E"/>
    <w:rsid w:val="001B3FB2"/>
    <w:rsid w:val="001D54B3"/>
    <w:rsid w:val="001F5B03"/>
    <w:rsid w:val="00203D10"/>
    <w:rsid w:val="002107BD"/>
    <w:rsid w:val="00215DBA"/>
    <w:rsid w:val="002270BA"/>
    <w:rsid w:val="00247100"/>
    <w:rsid w:val="002507DF"/>
    <w:rsid w:val="00252E30"/>
    <w:rsid w:val="00257770"/>
    <w:rsid w:val="00261739"/>
    <w:rsid w:val="00264B58"/>
    <w:rsid w:val="00273C4B"/>
    <w:rsid w:val="00275B3A"/>
    <w:rsid w:val="00291569"/>
    <w:rsid w:val="00293F48"/>
    <w:rsid w:val="002A04F1"/>
    <w:rsid w:val="002A358F"/>
    <w:rsid w:val="002B1964"/>
    <w:rsid w:val="002B4D34"/>
    <w:rsid w:val="002D5096"/>
    <w:rsid w:val="002E05DB"/>
    <w:rsid w:val="002E409B"/>
    <w:rsid w:val="002E5EBE"/>
    <w:rsid w:val="002F5C14"/>
    <w:rsid w:val="002F7A25"/>
    <w:rsid w:val="00310E86"/>
    <w:rsid w:val="00320531"/>
    <w:rsid w:val="0032267B"/>
    <w:rsid w:val="00327E2F"/>
    <w:rsid w:val="00336DBF"/>
    <w:rsid w:val="00341C5D"/>
    <w:rsid w:val="003430E4"/>
    <w:rsid w:val="00346482"/>
    <w:rsid w:val="003729BD"/>
    <w:rsid w:val="003807D6"/>
    <w:rsid w:val="003911B8"/>
    <w:rsid w:val="003A017E"/>
    <w:rsid w:val="003A07DD"/>
    <w:rsid w:val="003A1FB7"/>
    <w:rsid w:val="003A2096"/>
    <w:rsid w:val="003A3B39"/>
    <w:rsid w:val="003B0384"/>
    <w:rsid w:val="003B428F"/>
    <w:rsid w:val="003D4301"/>
    <w:rsid w:val="003E43DC"/>
    <w:rsid w:val="003E6E4B"/>
    <w:rsid w:val="004004F9"/>
    <w:rsid w:val="00414F5D"/>
    <w:rsid w:val="00423244"/>
    <w:rsid w:val="004249E7"/>
    <w:rsid w:val="00425EFB"/>
    <w:rsid w:val="0043481A"/>
    <w:rsid w:val="00442718"/>
    <w:rsid w:val="00445CFF"/>
    <w:rsid w:val="00465A99"/>
    <w:rsid w:val="004800C7"/>
    <w:rsid w:val="00481949"/>
    <w:rsid w:val="00485D4D"/>
    <w:rsid w:val="004929BE"/>
    <w:rsid w:val="004A4FB5"/>
    <w:rsid w:val="004B3E74"/>
    <w:rsid w:val="004C1352"/>
    <w:rsid w:val="004C15EB"/>
    <w:rsid w:val="004D5F0A"/>
    <w:rsid w:val="005056B6"/>
    <w:rsid w:val="005139BC"/>
    <w:rsid w:val="0051578A"/>
    <w:rsid w:val="005203D8"/>
    <w:rsid w:val="00522D23"/>
    <w:rsid w:val="005239AC"/>
    <w:rsid w:val="005319FE"/>
    <w:rsid w:val="00534123"/>
    <w:rsid w:val="00542AB1"/>
    <w:rsid w:val="00543C7C"/>
    <w:rsid w:val="0055006A"/>
    <w:rsid w:val="00556640"/>
    <w:rsid w:val="005703AC"/>
    <w:rsid w:val="0059299D"/>
    <w:rsid w:val="005C3042"/>
    <w:rsid w:val="005D55F8"/>
    <w:rsid w:val="00603650"/>
    <w:rsid w:val="00616EF8"/>
    <w:rsid w:val="00623DA0"/>
    <w:rsid w:val="00625624"/>
    <w:rsid w:val="00627D2C"/>
    <w:rsid w:val="00632464"/>
    <w:rsid w:val="0063470C"/>
    <w:rsid w:val="006352E0"/>
    <w:rsid w:val="00646280"/>
    <w:rsid w:val="00654D1C"/>
    <w:rsid w:val="006650E9"/>
    <w:rsid w:val="00667847"/>
    <w:rsid w:val="00673249"/>
    <w:rsid w:val="0068586C"/>
    <w:rsid w:val="006944FF"/>
    <w:rsid w:val="00697D02"/>
    <w:rsid w:val="006A1848"/>
    <w:rsid w:val="006B687E"/>
    <w:rsid w:val="006C12BB"/>
    <w:rsid w:val="006C3D5B"/>
    <w:rsid w:val="006C437C"/>
    <w:rsid w:val="006C5562"/>
    <w:rsid w:val="006C6CA9"/>
    <w:rsid w:val="006D3D7D"/>
    <w:rsid w:val="006F636A"/>
    <w:rsid w:val="00707CFB"/>
    <w:rsid w:val="00712A6C"/>
    <w:rsid w:val="00716F31"/>
    <w:rsid w:val="007323E0"/>
    <w:rsid w:val="00747BD6"/>
    <w:rsid w:val="00747E93"/>
    <w:rsid w:val="007502E4"/>
    <w:rsid w:val="00756D72"/>
    <w:rsid w:val="00756DE2"/>
    <w:rsid w:val="007602DE"/>
    <w:rsid w:val="0077125C"/>
    <w:rsid w:val="007749F2"/>
    <w:rsid w:val="00780E20"/>
    <w:rsid w:val="0079544E"/>
    <w:rsid w:val="007A195B"/>
    <w:rsid w:val="007A3657"/>
    <w:rsid w:val="007B53B1"/>
    <w:rsid w:val="007E3BFB"/>
    <w:rsid w:val="007E64B9"/>
    <w:rsid w:val="007F616D"/>
    <w:rsid w:val="00807A1A"/>
    <w:rsid w:val="00817E32"/>
    <w:rsid w:val="00820932"/>
    <w:rsid w:val="0082221C"/>
    <w:rsid w:val="00823F58"/>
    <w:rsid w:val="008278B6"/>
    <w:rsid w:val="00833C1C"/>
    <w:rsid w:val="00837406"/>
    <w:rsid w:val="00840D08"/>
    <w:rsid w:val="0084206E"/>
    <w:rsid w:val="008423CA"/>
    <w:rsid w:val="00847CB9"/>
    <w:rsid w:val="00860953"/>
    <w:rsid w:val="00866382"/>
    <w:rsid w:val="00884BD9"/>
    <w:rsid w:val="008906BC"/>
    <w:rsid w:val="008B5695"/>
    <w:rsid w:val="008D2D04"/>
    <w:rsid w:val="008D4CE5"/>
    <w:rsid w:val="008E192C"/>
    <w:rsid w:val="008E688A"/>
    <w:rsid w:val="00902206"/>
    <w:rsid w:val="00912349"/>
    <w:rsid w:val="00913931"/>
    <w:rsid w:val="0092324F"/>
    <w:rsid w:val="009356A9"/>
    <w:rsid w:val="00935F09"/>
    <w:rsid w:val="00945A77"/>
    <w:rsid w:val="00945CD1"/>
    <w:rsid w:val="00950150"/>
    <w:rsid w:val="00950304"/>
    <w:rsid w:val="00967526"/>
    <w:rsid w:val="00971605"/>
    <w:rsid w:val="0097684F"/>
    <w:rsid w:val="0098420C"/>
    <w:rsid w:val="00995A98"/>
    <w:rsid w:val="009A3EFD"/>
    <w:rsid w:val="009A5801"/>
    <w:rsid w:val="009C19BC"/>
    <w:rsid w:val="009E033E"/>
    <w:rsid w:val="009E56A6"/>
    <w:rsid w:val="009F1200"/>
    <w:rsid w:val="009F2545"/>
    <w:rsid w:val="00A04215"/>
    <w:rsid w:val="00A07ED3"/>
    <w:rsid w:val="00A141CC"/>
    <w:rsid w:val="00A169F1"/>
    <w:rsid w:val="00A23652"/>
    <w:rsid w:val="00A249A3"/>
    <w:rsid w:val="00A318C5"/>
    <w:rsid w:val="00A471EF"/>
    <w:rsid w:val="00A574D5"/>
    <w:rsid w:val="00A6028B"/>
    <w:rsid w:val="00A73C5D"/>
    <w:rsid w:val="00A81DE6"/>
    <w:rsid w:val="00A91409"/>
    <w:rsid w:val="00AA3A2B"/>
    <w:rsid w:val="00AB19C0"/>
    <w:rsid w:val="00AB78D4"/>
    <w:rsid w:val="00AD7E4E"/>
    <w:rsid w:val="00AE12FE"/>
    <w:rsid w:val="00AE45DB"/>
    <w:rsid w:val="00AE7D35"/>
    <w:rsid w:val="00B17A26"/>
    <w:rsid w:val="00B26B94"/>
    <w:rsid w:val="00B27CB2"/>
    <w:rsid w:val="00B300AD"/>
    <w:rsid w:val="00B31269"/>
    <w:rsid w:val="00B365E3"/>
    <w:rsid w:val="00B83792"/>
    <w:rsid w:val="00B86C38"/>
    <w:rsid w:val="00B90D75"/>
    <w:rsid w:val="00BB1F41"/>
    <w:rsid w:val="00BB23F2"/>
    <w:rsid w:val="00BD02FF"/>
    <w:rsid w:val="00BE4A84"/>
    <w:rsid w:val="00BE4B70"/>
    <w:rsid w:val="00BE5175"/>
    <w:rsid w:val="00BF0ED3"/>
    <w:rsid w:val="00BF276B"/>
    <w:rsid w:val="00C12EDB"/>
    <w:rsid w:val="00C205EA"/>
    <w:rsid w:val="00C34090"/>
    <w:rsid w:val="00C37E60"/>
    <w:rsid w:val="00C72451"/>
    <w:rsid w:val="00C77715"/>
    <w:rsid w:val="00C85FD6"/>
    <w:rsid w:val="00C87E56"/>
    <w:rsid w:val="00CB2335"/>
    <w:rsid w:val="00CB6741"/>
    <w:rsid w:val="00CC3D97"/>
    <w:rsid w:val="00CD0844"/>
    <w:rsid w:val="00CE5F54"/>
    <w:rsid w:val="00D00584"/>
    <w:rsid w:val="00D00B91"/>
    <w:rsid w:val="00D11FED"/>
    <w:rsid w:val="00D14C61"/>
    <w:rsid w:val="00D20951"/>
    <w:rsid w:val="00D448CF"/>
    <w:rsid w:val="00D5120D"/>
    <w:rsid w:val="00D512CE"/>
    <w:rsid w:val="00D56111"/>
    <w:rsid w:val="00D61895"/>
    <w:rsid w:val="00D72948"/>
    <w:rsid w:val="00D7722D"/>
    <w:rsid w:val="00D860EA"/>
    <w:rsid w:val="00D866F8"/>
    <w:rsid w:val="00D91E66"/>
    <w:rsid w:val="00DA669C"/>
    <w:rsid w:val="00DC0BD2"/>
    <w:rsid w:val="00DD1474"/>
    <w:rsid w:val="00DE0B18"/>
    <w:rsid w:val="00DE705B"/>
    <w:rsid w:val="00DF17A4"/>
    <w:rsid w:val="00E059AF"/>
    <w:rsid w:val="00E12FE6"/>
    <w:rsid w:val="00E1423D"/>
    <w:rsid w:val="00E17435"/>
    <w:rsid w:val="00E33283"/>
    <w:rsid w:val="00E520F8"/>
    <w:rsid w:val="00E556FE"/>
    <w:rsid w:val="00E55D41"/>
    <w:rsid w:val="00E608CF"/>
    <w:rsid w:val="00E61146"/>
    <w:rsid w:val="00E658D1"/>
    <w:rsid w:val="00E7477B"/>
    <w:rsid w:val="00E81195"/>
    <w:rsid w:val="00E82A1F"/>
    <w:rsid w:val="00E9536E"/>
    <w:rsid w:val="00E97E5F"/>
    <w:rsid w:val="00EC08ED"/>
    <w:rsid w:val="00EC77DD"/>
    <w:rsid w:val="00ED0B88"/>
    <w:rsid w:val="00EE5D56"/>
    <w:rsid w:val="00EE6942"/>
    <w:rsid w:val="00EF470D"/>
    <w:rsid w:val="00EF7D00"/>
    <w:rsid w:val="00F27071"/>
    <w:rsid w:val="00F33EF5"/>
    <w:rsid w:val="00F55E0F"/>
    <w:rsid w:val="00F562C5"/>
    <w:rsid w:val="00F668C5"/>
    <w:rsid w:val="00F70D96"/>
    <w:rsid w:val="00FA1114"/>
    <w:rsid w:val="00FA4181"/>
    <w:rsid w:val="00FB2F56"/>
    <w:rsid w:val="00FC34DD"/>
    <w:rsid w:val="00FD036B"/>
    <w:rsid w:val="00FD21D1"/>
    <w:rsid w:val="00FE1FFC"/>
    <w:rsid w:val="00FF1B41"/>
    <w:rsid w:val="00FF3D2C"/>
    <w:rsid w:val="4945446B"/>
    <w:rsid w:val="62597DB9"/>
    <w:rsid w:val="6A59520C"/>
    <w:rsid w:val="729437A9"/>
    <w:rsid w:val="7A574214"/>
    <w:rsid w:val="7F06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rPr>
      <w:rFonts w:eastAsia="仿宋_GB2312"/>
      <w:sz w:val="32"/>
      <w:szCs w:val="20"/>
    </w:rPr>
  </w:style>
  <w:style w:type="paragraph" w:styleId="4">
    <w:name w:val="Date"/>
    <w:basedOn w:val="1"/>
    <w:next w:val="1"/>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脚 Char"/>
    <w:basedOn w:val="11"/>
    <w:link w:val="6"/>
    <w:qFormat/>
    <w:uiPriority w:val="99"/>
    <w:rPr>
      <w:kern w:val="2"/>
      <w:sz w:val="18"/>
      <w:szCs w:val="18"/>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5">
    <w:name w:val="标题 1 Char"/>
    <w:basedOn w:val="11"/>
    <w:link w:val="2"/>
    <w:qFormat/>
    <w:uiPriority w:val="0"/>
    <w:rPr>
      <w:rFonts w:ascii="宋体" w:hAnsi="宋体" w:cs="宋体"/>
      <w:b/>
      <w:bCs/>
      <w:kern w:val="36"/>
      <w:sz w:val="48"/>
      <w:szCs w:val="48"/>
    </w:rPr>
  </w:style>
  <w:style w:type="paragraph" w:customStyle="1" w:styleId="16">
    <w:name w:val="p0"/>
    <w:basedOn w:val="1"/>
    <w:qFormat/>
    <w:uiPriority w:val="0"/>
    <w:pPr>
      <w:widowControl/>
      <w:spacing w:line="240" w:lineRule="atLeast"/>
      <w:jc w:val="left"/>
    </w:pPr>
    <w:rPr>
      <w:rFonts w:ascii="宋体" w:hAnsi="宋体" w:cs="宋体"/>
      <w:kern w:val="0"/>
      <w:sz w:val="32"/>
      <w:szCs w:val="32"/>
    </w:rPr>
  </w:style>
  <w:style w:type="character" w:customStyle="1" w:styleId="17">
    <w:name w:val="批注框文本 Char"/>
    <w:basedOn w:val="11"/>
    <w:link w:val="5"/>
    <w:qFormat/>
    <w:uiPriority w:val="0"/>
    <w:rPr>
      <w:kern w:val="2"/>
      <w:sz w:val="18"/>
      <w:szCs w:val="18"/>
    </w:rPr>
  </w:style>
  <w:style w:type="character" w:customStyle="1" w:styleId="18">
    <w:name w:val="md"/>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4"/>
    <customShpInfo spid="_x0000_s1039"/>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8338A7-6FD8-4424-8DA0-EE250822A3B2}">
  <ds:schemaRefs/>
</ds:datastoreItem>
</file>

<file path=docProps/app.xml><?xml version="1.0" encoding="utf-8"?>
<Properties xmlns="http://schemas.openxmlformats.org/officeDocument/2006/extended-properties" xmlns:vt="http://schemas.openxmlformats.org/officeDocument/2006/docPropsVTypes">
  <Template>Normal.dotm</Template>
  <Company>WwW.xdngs.coM</Company>
  <Pages>12</Pages>
  <Words>865</Words>
  <Characters>4933</Characters>
  <Lines>41</Lines>
  <Paragraphs>11</Paragraphs>
  <TotalTime>7</TotalTime>
  <ScaleCrop>false</ScaleCrop>
  <LinksUpToDate>false</LinksUpToDate>
  <CharactersWithSpaces>5787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2021-11-10T01:49:00Z</dcterms:created>
  <dc:creator>新电脑公司</dc:creator>
  <cp:lastModifiedBy>Administrator</cp:lastModifiedBy>
  <cp:lastPrinted>2017-06-29T01:53:00Z</cp:lastPrinted>
  <dcterms:modified xsi:type="dcterms:W3CDTF">2021-11-10T06:30:22Z</dcterms:modified>
  <dc:title>渝中就业﹝2011﹞8号                    签发人：田野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3DA25EBB2EFF466B80F983D4FC2E74D7</vt:lpwstr>
  </property>
</Properties>
</file>