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4" w:lineRule="exact"/>
        <w:jc w:val="left"/>
        <w:rPr>
          <w:rFonts w:hint="eastAsia" w:ascii="方正黑体_GBK" w:hAnsi="方正黑体_GBK" w:eastAsia="方正黑体_GBK" w:cs="方正黑体_GBK"/>
          <w:spacing w:val="8"/>
          <w:kern w:val="0"/>
          <w:sz w:val="32"/>
          <w:szCs w:val="32"/>
        </w:rPr>
      </w:pPr>
      <w:r>
        <w:rPr>
          <w:rFonts w:hint="eastAsia" w:ascii="方正黑体_GBK" w:hAnsi="方正黑体_GBK" w:eastAsia="方正黑体_GBK" w:cs="方正黑体_GBK"/>
          <w:spacing w:val="8"/>
          <w:kern w:val="0"/>
          <w:sz w:val="32"/>
          <w:szCs w:val="32"/>
        </w:rPr>
        <w:t>附件4</w:t>
      </w:r>
    </w:p>
    <w:p>
      <w:pPr>
        <w:pStyle w:val="2"/>
        <w:ind w:left="1470" w:right="1470"/>
        <w:rPr>
          <w:rFonts w:hint="eastAsia"/>
        </w:rPr>
      </w:pPr>
    </w:p>
    <w:p>
      <w:pPr>
        <w:spacing w:line="594" w:lineRule="exact"/>
        <w:jc w:val="center"/>
        <w:rPr>
          <w:rFonts w:eastAsia="方正小标宋_GBK"/>
          <w:color w:val="000000"/>
          <w:sz w:val="44"/>
          <w:szCs w:val="44"/>
        </w:rPr>
      </w:pPr>
      <w:r>
        <w:rPr>
          <w:rFonts w:hint="eastAsia" w:eastAsia="方正小标宋_GBK"/>
          <w:color w:val="000000"/>
          <w:sz w:val="44"/>
          <w:szCs w:val="44"/>
        </w:rPr>
        <w:t>“</w:t>
      </w:r>
      <w:r>
        <w:rPr>
          <w:rFonts w:eastAsia="方正小标宋_GBK"/>
          <w:color w:val="000000"/>
          <w:sz w:val="44"/>
          <w:szCs w:val="44"/>
        </w:rPr>
        <w:t>近悦远来·渝创渝新”</w:t>
      </w:r>
    </w:p>
    <w:p>
      <w:pPr>
        <w:spacing w:line="594" w:lineRule="exact"/>
        <w:jc w:val="center"/>
        <w:rPr>
          <w:rFonts w:eastAsia="方正小标宋_GBK"/>
          <w:color w:val="000000"/>
          <w:sz w:val="44"/>
          <w:szCs w:val="44"/>
        </w:rPr>
      </w:pPr>
      <w:r>
        <w:rPr>
          <w:rFonts w:eastAsia="方正小标宋_GBK"/>
          <w:color w:val="000000"/>
          <w:sz w:val="44"/>
          <w:szCs w:val="44"/>
        </w:rPr>
        <w:t>渝中区“远航计划”创业服务能力建设</w:t>
      </w:r>
      <w:r>
        <w:rPr>
          <w:rFonts w:hint="eastAsia" w:eastAsia="方正小标宋_GBK"/>
          <w:color w:val="000000"/>
          <w:sz w:val="44"/>
          <w:szCs w:val="44"/>
        </w:rPr>
        <w:t>活动之</w:t>
      </w:r>
    </w:p>
    <w:p>
      <w:pPr>
        <w:spacing w:line="594" w:lineRule="exact"/>
        <w:jc w:val="center"/>
        <w:rPr>
          <w:rFonts w:hint="eastAsia" w:eastAsia="方正小标宋_GBK"/>
          <w:color w:val="000000"/>
          <w:sz w:val="44"/>
          <w:szCs w:val="44"/>
        </w:rPr>
      </w:pPr>
      <w:r>
        <w:rPr>
          <w:rFonts w:hint="eastAsia" w:eastAsia="方正小标宋_GBK"/>
          <w:color w:val="000000"/>
          <w:sz w:val="44"/>
          <w:szCs w:val="44"/>
        </w:rPr>
        <w:t>创业创新服务能力大比武</w:t>
      </w:r>
    </w:p>
    <w:p>
      <w:pPr>
        <w:spacing w:line="594" w:lineRule="exact"/>
        <w:jc w:val="center"/>
        <w:rPr>
          <w:rFonts w:hint="eastAsia" w:ascii="方正小标宋_GBK" w:eastAsia="方正小标宋_GBK"/>
          <w:bCs/>
          <w:spacing w:val="8"/>
          <w:kern w:val="0"/>
          <w:sz w:val="44"/>
          <w:szCs w:val="44"/>
        </w:rPr>
      </w:pPr>
      <w:r>
        <w:rPr>
          <w:rFonts w:hint="eastAsia" w:ascii="方正小标宋_GBK" w:eastAsia="方正小标宋_GBK"/>
          <w:bCs/>
          <w:spacing w:val="8"/>
          <w:kern w:val="0"/>
          <w:sz w:val="44"/>
          <w:szCs w:val="44"/>
        </w:rPr>
        <w:t>项目采购评估细则</w:t>
      </w:r>
    </w:p>
    <w:p>
      <w:pPr>
        <w:pStyle w:val="2"/>
        <w:ind w:left="0" w:leftChars="0" w:right="1470"/>
        <w:rPr>
          <w:rFonts w:hint="eastAsia"/>
        </w:rPr>
      </w:pPr>
    </w:p>
    <w:tbl>
      <w:tblPr>
        <w:tblStyle w:val="3"/>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
        <w:gridCol w:w="455"/>
        <w:gridCol w:w="1464"/>
        <w:gridCol w:w="649"/>
        <w:gridCol w:w="4536"/>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6" w:type="dxa"/>
            <w:gridSpan w:val="2"/>
            <w:noWrap w:val="0"/>
            <w:vAlign w:val="center"/>
          </w:tcPr>
          <w:p>
            <w:pPr>
              <w:snapToGrid w:val="0"/>
              <w:spacing w:line="320" w:lineRule="exact"/>
              <w:ind w:left="-38"/>
              <w:jc w:val="center"/>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序号</w:t>
            </w:r>
          </w:p>
        </w:tc>
        <w:tc>
          <w:tcPr>
            <w:tcW w:w="1464" w:type="dxa"/>
            <w:noWrap w:val="0"/>
            <w:vAlign w:val="center"/>
          </w:tcPr>
          <w:p>
            <w:pPr>
              <w:snapToGrid w:val="0"/>
              <w:spacing w:line="320" w:lineRule="exact"/>
              <w:ind w:left="-38"/>
              <w:jc w:val="center"/>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评分因素</w:t>
            </w:r>
          </w:p>
          <w:p>
            <w:pPr>
              <w:snapToGrid w:val="0"/>
              <w:spacing w:line="320" w:lineRule="exact"/>
              <w:ind w:left="-38"/>
              <w:jc w:val="center"/>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及权重</w:t>
            </w:r>
          </w:p>
        </w:tc>
        <w:tc>
          <w:tcPr>
            <w:tcW w:w="649" w:type="dxa"/>
            <w:noWrap w:val="0"/>
            <w:vAlign w:val="center"/>
          </w:tcPr>
          <w:p>
            <w:pPr>
              <w:snapToGrid w:val="0"/>
              <w:spacing w:line="320" w:lineRule="exact"/>
              <w:ind w:left="-38"/>
              <w:jc w:val="center"/>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分值</w:t>
            </w:r>
          </w:p>
        </w:tc>
        <w:tc>
          <w:tcPr>
            <w:tcW w:w="4536" w:type="dxa"/>
            <w:noWrap w:val="0"/>
            <w:vAlign w:val="center"/>
          </w:tcPr>
          <w:p>
            <w:pPr>
              <w:snapToGrid w:val="0"/>
              <w:spacing w:line="320" w:lineRule="exact"/>
              <w:ind w:left="-38"/>
              <w:jc w:val="center"/>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评分标准</w:t>
            </w:r>
          </w:p>
        </w:tc>
        <w:tc>
          <w:tcPr>
            <w:tcW w:w="2538" w:type="dxa"/>
            <w:noWrap w:val="0"/>
            <w:vAlign w:val="center"/>
          </w:tcPr>
          <w:p>
            <w:pPr>
              <w:snapToGrid w:val="0"/>
              <w:spacing w:line="320" w:lineRule="exact"/>
              <w:ind w:left="-38"/>
              <w:jc w:val="center"/>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36" w:type="dxa"/>
            <w:gridSpan w:val="2"/>
            <w:noWrap w:val="0"/>
            <w:vAlign w:val="center"/>
          </w:tcPr>
          <w:p>
            <w:pPr>
              <w:snapToGrid w:val="0"/>
              <w:spacing w:line="320" w:lineRule="exact"/>
              <w:ind w:left="-38"/>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1464" w:type="dxa"/>
            <w:noWrap w:val="0"/>
            <w:vAlign w:val="center"/>
          </w:tcPr>
          <w:p>
            <w:pPr>
              <w:snapToGrid w:val="0"/>
              <w:spacing w:line="320" w:lineRule="exact"/>
              <w:ind w:left="-38"/>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投标报价</w:t>
            </w:r>
          </w:p>
          <w:p>
            <w:pPr>
              <w:snapToGrid w:val="0"/>
              <w:spacing w:line="320" w:lineRule="exact"/>
              <w:ind w:left="-38"/>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（10%）</w:t>
            </w:r>
          </w:p>
        </w:tc>
        <w:tc>
          <w:tcPr>
            <w:tcW w:w="649" w:type="dxa"/>
            <w:noWrap w:val="0"/>
            <w:vAlign w:val="center"/>
          </w:tcPr>
          <w:p>
            <w:pPr>
              <w:snapToGrid w:val="0"/>
              <w:spacing w:line="320" w:lineRule="exact"/>
              <w:ind w:left="-38"/>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10</w:t>
            </w:r>
          </w:p>
        </w:tc>
        <w:tc>
          <w:tcPr>
            <w:tcW w:w="4536" w:type="dxa"/>
            <w:noWrap w:val="0"/>
            <w:vAlign w:val="center"/>
          </w:tcPr>
          <w:p>
            <w:pPr>
              <w:snapToGrid w:val="0"/>
              <w:spacing w:line="320" w:lineRule="exact"/>
              <w:ind w:left="-38"/>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投标价格分计算方法：满足采购文件要求且投标价格最低有效投标报价为评标基准价，其价格分为10分。其他参与单位的价格分统一按照下列公式计算：投标报价得分=(评标基准价／投标报价)×价格权值×100（精确到小数点后二位，由采购机构当场统一计算）。</w:t>
            </w:r>
          </w:p>
          <w:p>
            <w:pPr>
              <w:snapToGrid w:val="0"/>
              <w:spacing w:line="320" w:lineRule="exact"/>
              <w:ind w:left="-38"/>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(2)最终投标报价高于本项目总投资，价格分将作零分处理。</w:t>
            </w:r>
          </w:p>
        </w:tc>
        <w:tc>
          <w:tcPr>
            <w:tcW w:w="2538" w:type="dxa"/>
            <w:noWrap w:val="0"/>
            <w:vAlign w:val="center"/>
          </w:tcPr>
          <w:p>
            <w:pPr>
              <w:snapToGrid w:val="0"/>
              <w:spacing w:line="320" w:lineRule="exact"/>
              <w:ind w:left="-38"/>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jc w:val="center"/>
        </w:trPr>
        <w:tc>
          <w:tcPr>
            <w:tcW w:w="836" w:type="dxa"/>
            <w:gridSpan w:val="2"/>
            <w:vMerge w:val="restart"/>
            <w:noWrap w:val="0"/>
            <w:vAlign w:val="center"/>
          </w:tcPr>
          <w:p>
            <w:pPr>
              <w:snapToGrid w:val="0"/>
              <w:spacing w:line="320" w:lineRule="exact"/>
              <w:ind w:left="-38"/>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2</w:t>
            </w:r>
          </w:p>
        </w:tc>
        <w:tc>
          <w:tcPr>
            <w:tcW w:w="1464" w:type="dxa"/>
            <w:vMerge w:val="restart"/>
            <w:noWrap w:val="0"/>
            <w:vAlign w:val="center"/>
          </w:tcPr>
          <w:p>
            <w:pPr>
              <w:snapToGrid w:val="0"/>
              <w:spacing w:line="320" w:lineRule="exact"/>
              <w:ind w:left="-38"/>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服务部分</w:t>
            </w:r>
          </w:p>
          <w:p>
            <w:pPr>
              <w:snapToGrid w:val="0"/>
              <w:spacing w:line="320" w:lineRule="exact"/>
              <w:ind w:left="-38"/>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（60%）</w:t>
            </w:r>
          </w:p>
        </w:tc>
        <w:tc>
          <w:tcPr>
            <w:tcW w:w="649" w:type="dxa"/>
            <w:vMerge w:val="restart"/>
            <w:noWrap w:val="0"/>
            <w:vAlign w:val="center"/>
          </w:tcPr>
          <w:p>
            <w:pPr>
              <w:snapToGrid w:val="0"/>
              <w:spacing w:line="320" w:lineRule="exact"/>
              <w:ind w:left="-38"/>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60</w:t>
            </w:r>
          </w:p>
        </w:tc>
        <w:tc>
          <w:tcPr>
            <w:tcW w:w="4536" w:type="dxa"/>
            <w:noWrap w:val="0"/>
            <w:vAlign w:val="center"/>
          </w:tcPr>
          <w:p>
            <w:pPr>
              <w:spacing w:line="32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1、项目总体活动策划方案（30分）</w:t>
            </w:r>
          </w:p>
          <w:p>
            <w:pPr>
              <w:spacing w:line="32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根据要求，由参与单位提供项目总方案和相关子方案，内容包括组织保障、活动流程、培训现场布置、安全保障等。对项目实施方案的完整性、针对性、可操作性进行横向比较评分，总分25分；优秀得18-25分，良好得9-17分，一般得1-9分，差或未提供的得0分；方案设计创新性突出可得5分，创新性一般可得2分，无创新内容得0分。满分30分。</w:t>
            </w:r>
          </w:p>
        </w:tc>
        <w:tc>
          <w:tcPr>
            <w:tcW w:w="2538" w:type="dxa"/>
            <w:noWrap w:val="0"/>
            <w:vAlign w:val="center"/>
          </w:tcPr>
          <w:p>
            <w:pPr>
              <w:spacing w:line="32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提供书面方案进行评审。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836" w:type="dxa"/>
            <w:gridSpan w:val="2"/>
            <w:vMerge w:val="continue"/>
            <w:noWrap w:val="0"/>
            <w:vAlign w:val="center"/>
          </w:tcPr>
          <w:p>
            <w:pPr>
              <w:snapToGrid w:val="0"/>
              <w:spacing w:line="320" w:lineRule="exact"/>
              <w:ind w:left="-38"/>
              <w:jc w:val="center"/>
              <w:rPr>
                <w:rFonts w:hint="eastAsia" w:ascii="方正仿宋_GBK" w:hAnsi="方正仿宋_GBK" w:eastAsia="方正仿宋_GBK" w:cs="方正仿宋_GBK"/>
                <w:szCs w:val="21"/>
              </w:rPr>
            </w:pPr>
          </w:p>
        </w:tc>
        <w:tc>
          <w:tcPr>
            <w:tcW w:w="1464" w:type="dxa"/>
            <w:vMerge w:val="continue"/>
            <w:noWrap w:val="0"/>
            <w:vAlign w:val="center"/>
          </w:tcPr>
          <w:p>
            <w:pPr>
              <w:snapToGrid w:val="0"/>
              <w:spacing w:line="320" w:lineRule="exact"/>
              <w:ind w:left="-38"/>
              <w:jc w:val="center"/>
              <w:rPr>
                <w:rFonts w:hint="eastAsia" w:ascii="方正仿宋_GBK" w:hAnsi="方正仿宋_GBK" w:eastAsia="方正仿宋_GBK" w:cs="方正仿宋_GBK"/>
                <w:szCs w:val="21"/>
              </w:rPr>
            </w:pPr>
          </w:p>
        </w:tc>
        <w:tc>
          <w:tcPr>
            <w:tcW w:w="649" w:type="dxa"/>
            <w:vMerge w:val="continue"/>
            <w:noWrap w:val="0"/>
            <w:vAlign w:val="center"/>
          </w:tcPr>
          <w:p>
            <w:pPr>
              <w:snapToGrid w:val="0"/>
              <w:spacing w:line="320" w:lineRule="exact"/>
              <w:ind w:left="-38"/>
              <w:jc w:val="left"/>
              <w:rPr>
                <w:rFonts w:hint="eastAsia" w:ascii="方正仿宋_GBK" w:hAnsi="方正仿宋_GBK" w:eastAsia="方正仿宋_GBK" w:cs="方正仿宋_GBK"/>
                <w:szCs w:val="21"/>
              </w:rPr>
            </w:pPr>
          </w:p>
        </w:tc>
        <w:tc>
          <w:tcPr>
            <w:tcW w:w="4536" w:type="dxa"/>
            <w:noWrap w:val="0"/>
            <w:vAlign w:val="center"/>
          </w:tcPr>
          <w:p>
            <w:pPr>
              <w:spacing w:line="32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2、组织管理方案（20分）</w:t>
            </w:r>
          </w:p>
          <w:p>
            <w:pPr>
              <w:spacing w:line="32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由参与单位针对本项目提供组织管理方案，方案内容包括：团队人员名单、项目管理团队组成及岗位职责、管理制度等内容。对组织管理方案的完整性、合理性、可行性进行横向比较评分，优秀得16-20分，良好得10-15分，一般得1-9分，差或未提供的得0分。</w:t>
            </w:r>
          </w:p>
        </w:tc>
        <w:tc>
          <w:tcPr>
            <w:tcW w:w="2538" w:type="dxa"/>
            <w:noWrap w:val="0"/>
            <w:vAlign w:val="center"/>
          </w:tcPr>
          <w:p>
            <w:pPr>
              <w:snapToGrid w:val="0"/>
              <w:spacing w:line="320" w:lineRule="exact"/>
              <w:ind w:left="-38"/>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提供书面方案、投标人为其团队人员缴纳2021年12月至今社保证明材料复印件并加盖投标人公章（2021年12月之后成立的公司，提供成立至今社保缴纳证明材料复印件）。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836" w:type="dxa"/>
            <w:gridSpan w:val="2"/>
            <w:vMerge w:val="continue"/>
            <w:noWrap w:val="0"/>
            <w:vAlign w:val="center"/>
          </w:tcPr>
          <w:p>
            <w:pPr>
              <w:snapToGrid w:val="0"/>
              <w:spacing w:line="320" w:lineRule="exact"/>
              <w:ind w:left="-38"/>
              <w:jc w:val="center"/>
              <w:rPr>
                <w:rFonts w:hint="eastAsia" w:ascii="方正仿宋_GBK" w:hAnsi="方正仿宋_GBK" w:eastAsia="方正仿宋_GBK" w:cs="方正仿宋_GBK"/>
                <w:szCs w:val="21"/>
              </w:rPr>
            </w:pPr>
          </w:p>
        </w:tc>
        <w:tc>
          <w:tcPr>
            <w:tcW w:w="1464" w:type="dxa"/>
            <w:vMerge w:val="continue"/>
            <w:noWrap w:val="0"/>
            <w:vAlign w:val="center"/>
          </w:tcPr>
          <w:p>
            <w:pPr>
              <w:snapToGrid w:val="0"/>
              <w:spacing w:line="320" w:lineRule="exact"/>
              <w:ind w:left="-38"/>
              <w:jc w:val="center"/>
              <w:rPr>
                <w:rFonts w:hint="eastAsia" w:ascii="方正仿宋_GBK" w:hAnsi="方正仿宋_GBK" w:eastAsia="方正仿宋_GBK" w:cs="方正仿宋_GBK"/>
                <w:szCs w:val="21"/>
              </w:rPr>
            </w:pPr>
          </w:p>
        </w:tc>
        <w:tc>
          <w:tcPr>
            <w:tcW w:w="649" w:type="dxa"/>
            <w:vMerge w:val="continue"/>
            <w:noWrap w:val="0"/>
            <w:vAlign w:val="center"/>
          </w:tcPr>
          <w:p>
            <w:pPr>
              <w:snapToGrid w:val="0"/>
              <w:spacing w:line="320" w:lineRule="exact"/>
              <w:ind w:left="-38"/>
              <w:jc w:val="left"/>
              <w:rPr>
                <w:rFonts w:hint="eastAsia" w:ascii="方正仿宋_GBK" w:hAnsi="方正仿宋_GBK" w:eastAsia="方正仿宋_GBK" w:cs="方正仿宋_GBK"/>
                <w:szCs w:val="21"/>
              </w:rPr>
            </w:pPr>
          </w:p>
        </w:tc>
        <w:tc>
          <w:tcPr>
            <w:tcW w:w="4536" w:type="dxa"/>
            <w:noWrap w:val="0"/>
            <w:vAlign w:val="center"/>
          </w:tcPr>
          <w:p>
            <w:pPr>
              <w:spacing w:line="32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3、应急方案（10分）</w:t>
            </w:r>
          </w:p>
          <w:p>
            <w:pPr>
              <w:spacing w:line="32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为本项目各个环节制定完善的突发情况应急方案，对应急方案的完整性、合理性、可行性进行横向比较评分，优秀得8-10分，良好得5-7分，一般得1-4分，差或未提供的得0分。</w:t>
            </w:r>
          </w:p>
        </w:tc>
        <w:tc>
          <w:tcPr>
            <w:tcW w:w="2538" w:type="dxa"/>
            <w:noWrap w:val="0"/>
            <w:vAlign w:val="center"/>
          </w:tcPr>
          <w:p>
            <w:pPr>
              <w:snapToGrid w:val="0"/>
              <w:spacing w:line="320" w:lineRule="exact"/>
              <w:ind w:left="-38"/>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提供书面方案进行评审。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381" w:type="dxa"/>
            <w:vMerge w:val="restart"/>
            <w:noWrap w:val="0"/>
            <w:vAlign w:val="center"/>
          </w:tcPr>
          <w:p>
            <w:pPr>
              <w:snapToGrid w:val="0"/>
              <w:spacing w:line="320" w:lineRule="exact"/>
              <w:ind w:left="-38"/>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w:t>
            </w:r>
          </w:p>
        </w:tc>
        <w:tc>
          <w:tcPr>
            <w:tcW w:w="455" w:type="dxa"/>
            <w:vMerge w:val="restart"/>
            <w:noWrap w:val="0"/>
            <w:vAlign w:val="center"/>
          </w:tcPr>
          <w:p>
            <w:pPr>
              <w:snapToGrid w:val="0"/>
              <w:spacing w:line="320" w:lineRule="exact"/>
              <w:ind w:left="-38"/>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商务部分</w:t>
            </w:r>
          </w:p>
        </w:tc>
        <w:tc>
          <w:tcPr>
            <w:tcW w:w="1464" w:type="dxa"/>
            <w:vMerge w:val="restart"/>
            <w:noWrap w:val="0"/>
            <w:vAlign w:val="center"/>
          </w:tcPr>
          <w:p>
            <w:pPr>
              <w:spacing w:line="320" w:lineRule="exact"/>
              <w:ind w:firstLine="28"/>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服务能力</w:t>
            </w:r>
          </w:p>
          <w:p>
            <w:pPr>
              <w:spacing w:line="320" w:lineRule="exact"/>
              <w:ind w:firstLine="28"/>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（30%）</w:t>
            </w:r>
          </w:p>
        </w:tc>
        <w:tc>
          <w:tcPr>
            <w:tcW w:w="649" w:type="dxa"/>
            <w:vMerge w:val="restart"/>
            <w:noWrap w:val="0"/>
            <w:vAlign w:val="center"/>
          </w:tcPr>
          <w:p>
            <w:pPr>
              <w:spacing w:line="320" w:lineRule="exact"/>
              <w:ind w:firstLine="28"/>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30</w:t>
            </w:r>
          </w:p>
        </w:tc>
        <w:tc>
          <w:tcPr>
            <w:tcW w:w="4536" w:type="dxa"/>
            <w:noWrap w:val="0"/>
            <w:vAlign w:val="center"/>
          </w:tcPr>
          <w:p>
            <w:pPr>
              <w:spacing w:line="32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1、派驻本项目的项目负责人具有重庆市人力社保局认定的高级创业导师，得4分，无高级创业导师不得分。</w:t>
            </w:r>
          </w:p>
        </w:tc>
        <w:tc>
          <w:tcPr>
            <w:tcW w:w="2538" w:type="dxa"/>
            <w:vMerge w:val="restart"/>
            <w:noWrap w:val="0"/>
            <w:vAlign w:val="center"/>
          </w:tcPr>
          <w:p>
            <w:pPr>
              <w:spacing w:line="320" w:lineRule="exact"/>
              <w:ind w:left="-38"/>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提供相关证书复印件及投标人为其缴纳2022年1月至今社保证明材料复印件并加盖投标人公章（2022年1月之后成立的公司，提供成立至今社保缴纳证明材料复印件）。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381" w:type="dxa"/>
            <w:vMerge w:val="continue"/>
            <w:noWrap w:val="0"/>
            <w:vAlign w:val="center"/>
          </w:tcPr>
          <w:p>
            <w:pPr>
              <w:snapToGrid w:val="0"/>
              <w:spacing w:line="320" w:lineRule="exact"/>
              <w:ind w:left="-38"/>
              <w:jc w:val="center"/>
              <w:rPr>
                <w:rFonts w:hint="eastAsia" w:ascii="方正仿宋_GBK" w:hAnsi="方正仿宋_GBK" w:eastAsia="方正仿宋_GBK" w:cs="方正仿宋_GBK"/>
                <w:szCs w:val="21"/>
              </w:rPr>
            </w:pPr>
          </w:p>
        </w:tc>
        <w:tc>
          <w:tcPr>
            <w:tcW w:w="455" w:type="dxa"/>
            <w:vMerge w:val="continue"/>
            <w:noWrap w:val="0"/>
            <w:vAlign w:val="center"/>
          </w:tcPr>
          <w:p>
            <w:pPr>
              <w:snapToGrid w:val="0"/>
              <w:spacing w:line="320" w:lineRule="exact"/>
              <w:ind w:left="-38"/>
              <w:jc w:val="center"/>
              <w:rPr>
                <w:rFonts w:hint="eastAsia" w:ascii="方正仿宋_GBK" w:hAnsi="方正仿宋_GBK" w:eastAsia="方正仿宋_GBK" w:cs="方正仿宋_GBK"/>
                <w:szCs w:val="21"/>
              </w:rPr>
            </w:pPr>
          </w:p>
        </w:tc>
        <w:tc>
          <w:tcPr>
            <w:tcW w:w="1464" w:type="dxa"/>
            <w:vMerge w:val="continue"/>
            <w:noWrap w:val="0"/>
            <w:vAlign w:val="center"/>
          </w:tcPr>
          <w:p>
            <w:pPr>
              <w:spacing w:line="320" w:lineRule="exact"/>
              <w:ind w:firstLine="28"/>
              <w:jc w:val="center"/>
              <w:rPr>
                <w:rFonts w:hint="eastAsia" w:ascii="方正仿宋_GBK" w:hAnsi="方正仿宋_GBK" w:eastAsia="方正仿宋_GBK" w:cs="方正仿宋_GBK"/>
                <w:szCs w:val="21"/>
              </w:rPr>
            </w:pPr>
          </w:p>
        </w:tc>
        <w:tc>
          <w:tcPr>
            <w:tcW w:w="649" w:type="dxa"/>
            <w:vMerge w:val="continue"/>
            <w:noWrap w:val="0"/>
            <w:vAlign w:val="center"/>
          </w:tcPr>
          <w:p>
            <w:pPr>
              <w:spacing w:line="320" w:lineRule="exact"/>
              <w:ind w:firstLine="28"/>
              <w:jc w:val="center"/>
              <w:rPr>
                <w:rFonts w:hint="eastAsia" w:ascii="方正仿宋_GBK" w:hAnsi="方正仿宋_GBK" w:eastAsia="方正仿宋_GBK" w:cs="方正仿宋_GBK"/>
                <w:szCs w:val="21"/>
              </w:rPr>
            </w:pPr>
          </w:p>
        </w:tc>
        <w:tc>
          <w:tcPr>
            <w:tcW w:w="4536" w:type="dxa"/>
            <w:noWrap w:val="0"/>
            <w:vAlign w:val="center"/>
          </w:tcPr>
          <w:p>
            <w:pPr>
              <w:spacing w:line="32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2、派驻本项目的工作人员具有创业孵化从业人员资格的，每名得1分，满分3分。</w:t>
            </w:r>
          </w:p>
        </w:tc>
        <w:tc>
          <w:tcPr>
            <w:tcW w:w="2538" w:type="dxa"/>
            <w:vMerge w:val="continue"/>
            <w:noWrap w:val="0"/>
            <w:vAlign w:val="center"/>
          </w:tcPr>
          <w:p>
            <w:pPr>
              <w:spacing w:line="320" w:lineRule="exact"/>
              <w:ind w:left="-38"/>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381" w:type="dxa"/>
            <w:vMerge w:val="continue"/>
            <w:noWrap w:val="0"/>
            <w:vAlign w:val="center"/>
          </w:tcPr>
          <w:p>
            <w:pPr>
              <w:snapToGrid w:val="0"/>
              <w:spacing w:line="320" w:lineRule="exact"/>
              <w:ind w:left="-38"/>
              <w:jc w:val="center"/>
              <w:rPr>
                <w:rFonts w:hint="eastAsia" w:ascii="方正仿宋_GBK" w:hAnsi="方正仿宋_GBK" w:eastAsia="方正仿宋_GBK" w:cs="方正仿宋_GBK"/>
                <w:szCs w:val="21"/>
              </w:rPr>
            </w:pPr>
          </w:p>
        </w:tc>
        <w:tc>
          <w:tcPr>
            <w:tcW w:w="455" w:type="dxa"/>
            <w:vMerge w:val="continue"/>
            <w:noWrap w:val="0"/>
            <w:vAlign w:val="center"/>
          </w:tcPr>
          <w:p>
            <w:pPr>
              <w:snapToGrid w:val="0"/>
              <w:spacing w:line="320" w:lineRule="exact"/>
              <w:ind w:left="-38"/>
              <w:jc w:val="center"/>
              <w:rPr>
                <w:rFonts w:hint="eastAsia" w:ascii="方正仿宋_GBK" w:hAnsi="方正仿宋_GBK" w:eastAsia="方正仿宋_GBK" w:cs="方正仿宋_GBK"/>
                <w:szCs w:val="21"/>
              </w:rPr>
            </w:pPr>
          </w:p>
        </w:tc>
        <w:tc>
          <w:tcPr>
            <w:tcW w:w="1464" w:type="dxa"/>
            <w:vMerge w:val="continue"/>
            <w:noWrap w:val="0"/>
            <w:vAlign w:val="center"/>
          </w:tcPr>
          <w:p>
            <w:pPr>
              <w:spacing w:line="320" w:lineRule="exact"/>
              <w:ind w:firstLine="28"/>
              <w:jc w:val="center"/>
              <w:rPr>
                <w:rFonts w:hint="eastAsia" w:ascii="方正仿宋_GBK" w:hAnsi="方正仿宋_GBK" w:eastAsia="方正仿宋_GBK" w:cs="方正仿宋_GBK"/>
                <w:szCs w:val="21"/>
              </w:rPr>
            </w:pPr>
          </w:p>
        </w:tc>
        <w:tc>
          <w:tcPr>
            <w:tcW w:w="649" w:type="dxa"/>
            <w:vMerge w:val="continue"/>
            <w:noWrap w:val="0"/>
            <w:vAlign w:val="center"/>
          </w:tcPr>
          <w:p>
            <w:pPr>
              <w:spacing w:line="320" w:lineRule="exact"/>
              <w:ind w:firstLine="28"/>
              <w:jc w:val="center"/>
              <w:rPr>
                <w:rFonts w:hint="eastAsia" w:ascii="方正仿宋_GBK" w:hAnsi="方正仿宋_GBK" w:eastAsia="方正仿宋_GBK" w:cs="方正仿宋_GBK"/>
                <w:szCs w:val="21"/>
              </w:rPr>
            </w:pPr>
          </w:p>
        </w:tc>
        <w:tc>
          <w:tcPr>
            <w:tcW w:w="4536" w:type="dxa"/>
            <w:noWrap w:val="0"/>
            <w:vAlign w:val="center"/>
          </w:tcPr>
          <w:p>
            <w:pPr>
              <w:spacing w:line="32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3、参与单位运营了区级创业创新孵化服务载体（包括但不限于孵化基地、孵化器等）得2分；省、市级创业创新孵化服务载体，得4分；国家级创业创新孵化服务载体得8分。</w:t>
            </w:r>
          </w:p>
        </w:tc>
        <w:tc>
          <w:tcPr>
            <w:tcW w:w="2538" w:type="dxa"/>
            <w:noWrap w:val="0"/>
            <w:vAlign w:val="center"/>
          </w:tcPr>
          <w:p>
            <w:pPr>
              <w:spacing w:line="320" w:lineRule="exact"/>
              <w:ind w:left="-38"/>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提供证明材料复印件并加盖投标人公章。投标公司是运营单位提供文件。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81" w:type="dxa"/>
            <w:vMerge w:val="continue"/>
            <w:noWrap w:val="0"/>
            <w:vAlign w:val="center"/>
          </w:tcPr>
          <w:p>
            <w:pPr>
              <w:snapToGrid w:val="0"/>
              <w:spacing w:line="320" w:lineRule="exact"/>
              <w:ind w:left="-38"/>
              <w:jc w:val="center"/>
              <w:rPr>
                <w:rFonts w:hint="eastAsia" w:ascii="方正仿宋_GBK" w:hAnsi="方正仿宋_GBK" w:eastAsia="方正仿宋_GBK" w:cs="方正仿宋_GBK"/>
                <w:szCs w:val="21"/>
              </w:rPr>
            </w:pPr>
          </w:p>
        </w:tc>
        <w:tc>
          <w:tcPr>
            <w:tcW w:w="455" w:type="dxa"/>
            <w:vMerge w:val="continue"/>
            <w:noWrap w:val="0"/>
            <w:vAlign w:val="center"/>
          </w:tcPr>
          <w:p>
            <w:pPr>
              <w:snapToGrid w:val="0"/>
              <w:spacing w:line="320" w:lineRule="exact"/>
              <w:ind w:left="-38"/>
              <w:jc w:val="center"/>
              <w:rPr>
                <w:rFonts w:hint="eastAsia" w:ascii="方正仿宋_GBK" w:hAnsi="方正仿宋_GBK" w:eastAsia="方正仿宋_GBK" w:cs="方正仿宋_GBK"/>
                <w:szCs w:val="21"/>
              </w:rPr>
            </w:pPr>
          </w:p>
        </w:tc>
        <w:tc>
          <w:tcPr>
            <w:tcW w:w="1464" w:type="dxa"/>
            <w:vMerge w:val="continue"/>
            <w:noWrap w:val="0"/>
            <w:vAlign w:val="center"/>
          </w:tcPr>
          <w:p>
            <w:pPr>
              <w:spacing w:line="320" w:lineRule="exact"/>
              <w:ind w:firstLine="28"/>
              <w:jc w:val="center"/>
              <w:rPr>
                <w:rFonts w:hint="eastAsia" w:ascii="方正仿宋_GBK" w:hAnsi="方正仿宋_GBK" w:eastAsia="方正仿宋_GBK" w:cs="方正仿宋_GBK"/>
                <w:szCs w:val="21"/>
              </w:rPr>
            </w:pPr>
          </w:p>
        </w:tc>
        <w:tc>
          <w:tcPr>
            <w:tcW w:w="649" w:type="dxa"/>
            <w:vMerge w:val="continue"/>
            <w:noWrap w:val="0"/>
            <w:vAlign w:val="center"/>
          </w:tcPr>
          <w:p>
            <w:pPr>
              <w:spacing w:line="320" w:lineRule="exact"/>
              <w:ind w:firstLine="28"/>
              <w:jc w:val="center"/>
              <w:rPr>
                <w:rFonts w:hint="eastAsia" w:ascii="方正仿宋_GBK" w:hAnsi="方正仿宋_GBK" w:eastAsia="方正仿宋_GBK" w:cs="方正仿宋_GBK"/>
                <w:szCs w:val="21"/>
              </w:rPr>
            </w:pPr>
          </w:p>
        </w:tc>
        <w:tc>
          <w:tcPr>
            <w:tcW w:w="4536" w:type="dxa"/>
            <w:noWrap w:val="0"/>
            <w:vAlign w:val="center"/>
          </w:tcPr>
          <w:p>
            <w:pPr>
              <w:spacing w:line="32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4、参与单位具有市级人力社保局认定的市级及以上创业培训资质学校（含投标人举办的全资学校）得10分，具有区级创业培训资质得5分，不具备创业培训资质不得分。</w:t>
            </w:r>
          </w:p>
        </w:tc>
        <w:tc>
          <w:tcPr>
            <w:tcW w:w="2538" w:type="dxa"/>
            <w:noWrap w:val="0"/>
            <w:vAlign w:val="center"/>
          </w:tcPr>
          <w:p>
            <w:pPr>
              <w:spacing w:line="320" w:lineRule="exact"/>
              <w:ind w:left="-38"/>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381" w:type="dxa"/>
            <w:vMerge w:val="continue"/>
            <w:noWrap w:val="0"/>
            <w:vAlign w:val="center"/>
          </w:tcPr>
          <w:p>
            <w:pPr>
              <w:snapToGrid w:val="0"/>
              <w:spacing w:line="320" w:lineRule="exact"/>
              <w:ind w:left="-38"/>
              <w:jc w:val="center"/>
              <w:rPr>
                <w:rFonts w:hint="eastAsia" w:ascii="方正仿宋_GBK" w:hAnsi="方正仿宋_GBK" w:eastAsia="方正仿宋_GBK" w:cs="方正仿宋_GBK"/>
                <w:szCs w:val="21"/>
              </w:rPr>
            </w:pPr>
          </w:p>
        </w:tc>
        <w:tc>
          <w:tcPr>
            <w:tcW w:w="455" w:type="dxa"/>
            <w:vMerge w:val="continue"/>
            <w:noWrap w:val="0"/>
            <w:vAlign w:val="center"/>
          </w:tcPr>
          <w:p>
            <w:pPr>
              <w:snapToGrid w:val="0"/>
              <w:spacing w:line="320" w:lineRule="exact"/>
              <w:ind w:left="-38"/>
              <w:jc w:val="center"/>
              <w:rPr>
                <w:rFonts w:hint="eastAsia" w:ascii="方正仿宋_GBK" w:hAnsi="方正仿宋_GBK" w:eastAsia="方正仿宋_GBK" w:cs="方正仿宋_GBK"/>
                <w:szCs w:val="21"/>
              </w:rPr>
            </w:pPr>
          </w:p>
        </w:tc>
        <w:tc>
          <w:tcPr>
            <w:tcW w:w="1464" w:type="dxa"/>
            <w:vMerge w:val="continue"/>
            <w:noWrap w:val="0"/>
            <w:vAlign w:val="center"/>
          </w:tcPr>
          <w:p>
            <w:pPr>
              <w:spacing w:line="320" w:lineRule="exact"/>
              <w:jc w:val="center"/>
              <w:rPr>
                <w:rFonts w:hint="eastAsia" w:ascii="方正仿宋_GBK" w:hAnsi="方正仿宋_GBK" w:eastAsia="方正仿宋_GBK" w:cs="方正仿宋_GBK"/>
                <w:szCs w:val="21"/>
              </w:rPr>
            </w:pPr>
          </w:p>
        </w:tc>
        <w:tc>
          <w:tcPr>
            <w:tcW w:w="649" w:type="dxa"/>
            <w:vMerge w:val="continue"/>
            <w:noWrap w:val="0"/>
            <w:vAlign w:val="center"/>
          </w:tcPr>
          <w:p>
            <w:pPr>
              <w:spacing w:line="320" w:lineRule="exact"/>
              <w:ind w:firstLine="28"/>
              <w:jc w:val="center"/>
              <w:rPr>
                <w:rFonts w:hint="eastAsia" w:ascii="方正仿宋_GBK" w:hAnsi="方正仿宋_GBK" w:eastAsia="方正仿宋_GBK" w:cs="方正仿宋_GBK"/>
                <w:szCs w:val="21"/>
              </w:rPr>
            </w:pPr>
          </w:p>
        </w:tc>
        <w:tc>
          <w:tcPr>
            <w:tcW w:w="4536" w:type="dxa"/>
            <w:noWrap w:val="0"/>
            <w:vAlign w:val="center"/>
          </w:tcPr>
          <w:p>
            <w:pPr>
              <w:spacing w:line="32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5、根据参与单位2018年至今承办（或组织）过区级创业活动项目的（含群团组织），每提供一个得1分，最多得5分；承办（或组织）过省、市级创业活动项目的（含群团组织），每提供一个得2.5分，最多得5分。</w:t>
            </w:r>
          </w:p>
        </w:tc>
        <w:tc>
          <w:tcPr>
            <w:tcW w:w="2538" w:type="dxa"/>
            <w:noWrap w:val="0"/>
            <w:vAlign w:val="center"/>
          </w:tcPr>
          <w:p>
            <w:pPr>
              <w:spacing w:line="320" w:lineRule="exact"/>
              <w:ind w:left="-38"/>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1、投标文件中提供合同，原件单独装袋评审现场查验，无原件不得分。</w:t>
            </w:r>
          </w:p>
          <w:p>
            <w:pPr>
              <w:spacing w:line="320" w:lineRule="exact"/>
              <w:ind w:left="-38"/>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2、同一项目不重复得分。</w:t>
            </w:r>
          </w:p>
        </w:tc>
      </w:tr>
    </w:tbl>
    <w:p>
      <w:pPr>
        <w:rPr>
          <w:rFonts w:hint="eastAsia"/>
        </w:rPr>
      </w:pPr>
    </w:p>
    <w:p>
      <w:bookmarkStart w:id="0" w:name="_GoBack"/>
      <w:bookmarkEnd w:id="0"/>
    </w:p>
    <w:sectPr>
      <w:pgSz w:w="11906" w:h="16838"/>
      <w:pgMar w:top="1984" w:right="1446" w:bottom="164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NjlhYWJjMGQ4MDE3N2M5MjM4ZjQyZTY4M2YwY2QifQ=="/>
  </w:docVars>
  <w:rsids>
    <w:rsidRoot w:val="3A8441A4"/>
    <w:rsid w:val="3A8441A4"/>
    <w:rsid w:val="433C3DE6"/>
    <w:rsid w:val="6AC14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287</Words>
  <Characters>287</Characters>
  <Lines>0</Lines>
  <Paragraphs>0</Paragraphs>
  <TotalTime>0</TotalTime>
  <ScaleCrop>false</ScaleCrop>
  <LinksUpToDate>false</LinksUpToDate>
  <CharactersWithSpaces>415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2022-12-16T08:23:00Z</dcterms:created>
  <dc:creator>xbqhmf</dc:creator>
  <cp:lastModifiedBy>xbqhmf</cp:lastModifiedBy>
  <dcterms:modified xsi:type="dcterms:W3CDTF">2022-12-16T08:25:04Z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C1185342BAD34101BC2F755628038EB7</vt:lpwstr>
  </property>
</Properties>
</file>